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670D" w14:textId="77777777" w:rsidR="003E5AE2" w:rsidRDefault="003A73AF">
      <w:pPr>
        <w:spacing w:before="83"/>
        <w:ind w:left="840"/>
        <w:rPr>
          <w:b/>
          <w:sz w:val="28"/>
        </w:rPr>
      </w:pPr>
      <w:r>
        <w:rPr>
          <w:b/>
          <w:w w:val="105"/>
          <w:sz w:val="28"/>
        </w:rPr>
        <w:t>Report on Information Regarding Executive Staﬀ Compensati</w:t>
      </w:r>
      <w:r w:rsidR="00F02F7A">
        <w:rPr>
          <w:b/>
          <w:w w:val="105"/>
          <w:sz w:val="28"/>
        </w:rPr>
        <w:t>on</w:t>
      </w:r>
    </w:p>
    <w:p w14:paraId="37DC4EB7" w14:textId="77777777" w:rsidR="003E5AE2" w:rsidRDefault="00F02F7A">
      <w:pPr>
        <w:pStyle w:val="BodyText"/>
        <w:spacing w:before="10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DADD882" wp14:editId="4157EA5D">
            <wp:simplePos x="0" y="0"/>
            <wp:positionH relativeFrom="page">
              <wp:posOffset>2845993</wp:posOffset>
            </wp:positionH>
            <wp:positionV relativeFrom="paragraph">
              <wp:posOffset>153035</wp:posOffset>
            </wp:positionV>
            <wp:extent cx="2113057" cy="6050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057" cy="605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49906" w14:textId="77777777" w:rsidR="003E5AE2" w:rsidRDefault="003E5AE2">
      <w:pPr>
        <w:pStyle w:val="BodyText"/>
        <w:spacing w:before="9"/>
        <w:rPr>
          <w:b/>
          <w:sz w:val="41"/>
        </w:rPr>
      </w:pPr>
    </w:p>
    <w:p w14:paraId="262F4D27" w14:textId="77777777" w:rsidR="003E5AE2" w:rsidRDefault="00F02F7A">
      <w:pPr>
        <w:pStyle w:val="BodyText"/>
        <w:spacing w:line="249" w:lineRule="auto"/>
        <w:ind w:left="100" w:right="854"/>
      </w:pPr>
      <w:r>
        <w:t xml:space="preserve">In Compliance with </w:t>
      </w:r>
      <w:r>
        <w:rPr>
          <w:spacing w:val="-7"/>
        </w:rPr>
        <w:t xml:space="preserve">Texas </w:t>
      </w:r>
      <w:r>
        <w:t xml:space="preserve">Government Code Sec. 659.026. INFORMATION </w:t>
      </w:r>
      <w:r>
        <w:rPr>
          <w:spacing w:val="-16"/>
        </w:rPr>
        <w:t xml:space="preserve">REGARDING </w:t>
      </w:r>
      <w:r>
        <w:rPr>
          <w:spacing w:val="-4"/>
        </w:rPr>
        <w:t xml:space="preserve">STAFF </w:t>
      </w:r>
      <w:r>
        <w:t xml:space="preserve">COMPENSATION, </w:t>
      </w:r>
      <w:r>
        <w:rPr>
          <w:spacing w:val="-5"/>
        </w:rPr>
        <w:t xml:space="preserve">Tyler </w:t>
      </w:r>
      <w:r>
        <w:t>Junior College is providing the following Informa</w:t>
      </w:r>
      <w:r w:rsidR="003A73AF">
        <w:t>ti</w:t>
      </w:r>
      <w:r>
        <w:t>on:</w:t>
      </w:r>
    </w:p>
    <w:p w14:paraId="7FAFA010" w14:textId="77777777" w:rsidR="003E5AE2" w:rsidRDefault="003E5AE2">
      <w:pPr>
        <w:pStyle w:val="BodyText"/>
        <w:spacing w:before="1"/>
        <w:rPr>
          <w:sz w:val="25"/>
        </w:rPr>
      </w:pPr>
    </w:p>
    <w:p w14:paraId="0F9C9049" w14:textId="77777777" w:rsidR="003E5AE2" w:rsidRDefault="003A73AF">
      <w:pPr>
        <w:pStyle w:val="Heading1"/>
        <w:numPr>
          <w:ilvl w:val="0"/>
          <w:numId w:val="1"/>
        </w:numPr>
        <w:tabs>
          <w:tab w:val="left" w:pos="780"/>
        </w:tabs>
        <w:ind w:hanging="319"/>
      </w:pPr>
      <w:r>
        <w:t>The number of full-ti</w:t>
      </w:r>
      <w:r w:rsidR="00F02F7A">
        <w:t>me equivalent employees employed by the</w:t>
      </w:r>
      <w:r w:rsidR="00F02F7A">
        <w:rPr>
          <w:spacing w:val="-15"/>
        </w:rPr>
        <w:t xml:space="preserve"> </w:t>
      </w:r>
      <w:r w:rsidR="00F02F7A">
        <w:t>agency;</w:t>
      </w:r>
    </w:p>
    <w:p w14:paraId="0457E769" w14:textId="5430C288" w:rsidR="003E5AE2" w:rsidRDefault="003A73AF">
      <w:pPr>
        <w:pStyle w:val="BodyText"/>
        <w:spacing w:before="11"/>
        <w:ind w:left="820"/>
      </w:pPr>
      <w:r>
        <w:t>Full-ti</w:t>
      </w:r>
      <w:r w:rsidR="00F02F7A">
        <w:t>me equivalent employees for Fiscal year 201</w:t>
      </w:r>
      <w:r w:rsidR="00A52CDB">
        <w:t>9</w:t>
      </w:r>
      <w:r w:rsidR="00F02F7A">
        <w:t xml:space="preserve"> – </w:t>
      </w:r>
      <w:r w:rsidR="006C182D">
        <w:t>967</w:t>
      </w:r>
    </w:p>
    <w:p w14:paraId="3B556509" w14:textId="77777777" w:rsidR="003E5AE2" w:rsidRDefault="003E5AE2">
      <w:pPr>
        <w:pStyle w:val="BodyText"/>
        <w:rPr>
          <w:sz w:val="26"/>
        </w:rPr>
      </w:pPr>
    </w:p>
    <w:p w14:paraId="5611E575" w14:textId="77777777" w:rsidR="003E5AE2" w:rsidRDefault="00F02F7A">
      <w:pPr>
        <w:pStyle w:val="Heading1"/>
        <w:numPr>
          <w:ilvl w:val="0"/>
          <w:numId w:val="1"/>
        </w:numPr>
        <w:tabs>
          <w:tab w:val="left" w:pos="820"/>
        </w:tabs>
        <w:spacing w:line="249" w:lineRule="auto"/>
        <w:ind w:left="820" w:right="936" w:hanging="360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amount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9"/>
          <w:w w:val="105"/>
        </w:rPr>
        <w:t xml:space="preserve"> </w:t>
      </w:r>
      <w:r w:rsidR="003A73AF">
        <w:rPr>
          <w:w w:val="105"/>
        </w:rPr>
        <w:t>legislati</w:t>
      </w:r>
      <w:r>
        <w:rPr>
          <w:w w:val="105"/>
        </w:rPr>
        <w:t>ve</w:t>
      </w:r>
      <w:r>
        <w:rPr>
          <w:spacing w:val="-26"/>
          <w:w w:val="105"/>
        </w:rPr>
        <w:t xml:space="preserve"> </w:t>
      </w:r>
      <w:r w:rsidR="003A73AF">
        <w:rPr>
          <w:w w:val="105"/>
        </w:rPr>
        <w:t>appropriati</w:t>
      </w:r>
      <w:r>
        <w:rPr>
          <w:w w:val="105"/>
        </w:rPr>
        <w:t>ons</w:t>
      </w:r>
      <w:r>
        <w:rPr>
          <w:spacing w:val="-27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agency</w:t>
      </w:r>
      <w:r>
        <w:rPr>
          <w:spacing w:val="-31"/>
          <w:w w:val="105"/>
        </w:rPr>
        <w:t xml:space="preserve"> </w:t>
      </w:r>
      <w:r>
        <w:rPr>
          <w:w w:val="105"/>
        </w:rPr>
        <w:t>for</w:t>
      </w:r>
      <w:r>
        <w:rPr>
          <w:spacing w:val="-29"/>
          <w:w w:val="105"/>
        </w:rPr>
        <w:t xml:space="preserve"> </w:t>
      </w:r>
      <w:r>
        <w:rPr>
          <w:w w:val="105"/>
        </w:rPr>
        <w:t>each</w:t>
      </w:r>
      <w:r>
        <w:rPr>
          <w:spacing w:val="-27"/>
          <w:w w:val="105"/>
        </w:rPr>
        <w:t xml:space="preserve"> </w:t>
      </w:r>
      <w:r>
        <w:rPr>
          <w:w w:val="105"/>
        </w:rPr>
        <w:t>ﬁscal</w:t>
      </w:r>
      <w:r>
        <w:rPr>
          <w:spacing w:val="-29"/>
          <w:w w:val="105"/>
        </w:rPr>
        <w:t xml:space="preserve"> </w:t>
      </w:r>
      <w:r>
        <w:rPr>
          <w:w w:val="105"/>
        </w:rPr>
        <w:t>year</w:t>
      </w:r>
      <w:r>
        <w:rPr>
          <w:spacing w:val="-30"/>
          <w:w w:val="105"/>
        </w:rPr>
        <w:t xml:space="preserve"> </w:t>
      </w:r>
      <w:r>
        <w:rPr>
          <w:w w:val="105"/>
        </w:rPr>
        <w:t>of</w:t>
      </w:r>
      <w:r>
        <w:rPr>
          <w:spacing w:val="-29"/>
          <w:w w:val="105"/>
        </w:rPr>
        <w:t xml:space="preserve"> </w:t>
      </w:r>
      <w:r>
        <w:rPr>
          <w:w w:val="105"/>
        </w:rPr>
        <w:t>the current state ﬁscal</w:t>
      </w:r>
      <w:r>
        <w:rPr>
          <w:spacing w:val="-14"/>
          <w:w w:val="105"/>
        </w:rPr>
        <w:t xml:space="preserve"> </w:t>
      </w:r>
      <w:r>
        <w:rPr>
          <w:w w:val="105"/>
        </w:rPr>
        <w:t>biennium;</w:t>
      </w:r>
    </w:p>
    <w:p w14:paraId="079C9585" w14:textId="77777777" w:rsidR="003E5AE2" w:rsidRDefault="00F02F7A">
      <w:pPr>
        <w:pStyle w:val="BodyText"/>
        <w:tabs>
          <w:tab w:val="left" w:pos="6641"/>
        </w:tabs>
        <w:ind w:left="4481"/>
      </w:pPr>
      <w:r>
        <w:t>Fiscal</w:t>
      </w:r>
      <w:r>
        <w:rPr>
          <w:spacing w:val="-2"/>
        </w:rPr>
        <w:t xml:space="preserve"> </w:t>
      </w:r>
      <w:r>
        <w:rPr>
          <w:spacing w:val="-7"/>
        </w:rPr>
        <w:t>Year</w:t>
      </w:r>
      <w:r>
        <w:rPr>
          <w:spacing w:val="-7"/>
        </w:rPr>
        <w:tab/>
      </w:r>
      <w:r>
        <w:t>Fiscal</w:t>
      </w:r>
      <w:r>
        <w:rPr>
          <w:spacing w:val="4"/>
        </w:rPr>
        <w:t xml:space="preserve"> </w:t>
      </w:r>
      <w:r>
        <w:rPr>
          <w:spacing w:val="-7"/>
        </w:rPr>
        <w:t>Year</w:t>
      </w:r>
    </w:p>
    <w:p w14:paraId="1D20C4E5" w14:textId="69DEB9BD" w:rsidR="003E5AE2" w:rsidRDefault="00F02F7A">
      <w:pPr>
        <w:pStyle w:val="BodyText"/>
        <w:tabs>
          <w:tab w:val="left" w:pos="7009"/>
        </w:tabs>
        <w:spacing w:before="12"/>
        <w:ind w:left="4850"/>
      </w:pPr>
      <w:r>
        <w:t>201</w:t>
      </w:r>
      <w:r w:rsidR="00B36E43">
        <w:t>8</w:t>
      </w:r>
      <w:r>
        <w:tab/>
        <w:t>201</w:t>
      </w:r>
      <w:r w:rsidR="00B36E43">
        <w:t>9</w:t>
      </w:r>
    </w:p>
    <w:p w14:paraId="0D2E33CD" w14:textId="29039E05" w:rsidR="003E5AE2" w:rsidRDefault="00F02F7A">
      <w:pPr>
        <w:pStyle w:val="BodyText"/>
        <w:tabs>
          <w:tab w:val="left" w:pos="4419"/>
          <w:tab w:val="left" w:pos="6579"/>
        </w:tabs>
        <w:spacing w:before="12"/>
        <w:ind w:left="820"/>
      </w:pPr>
      <w:r>
        <w:rPr>
          <w:spacing w:val="-7"/>
        </w:rPr>
        <w:t xml:space="preserve">Total </w:t>
      </w:r>
      <w:r w:rsidR="003A73AF">
        <w:t>Appropriati</w:t>
      </w:r>
      <w:r>
        <w:t>ons</w:t>
      </w:r>
      <w:r>
        <w:rPr>
          <w:spacing w:val="-25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Funds</w:t>
      </w:r>
      <w:r>
        <w:tab/>
        <w:t>$16,</w:t>
      </w:r>
      <w:r w:rsidR="00B36E43">
        <w:t>769,512</w:t>
      </w:r>
      <w:r>
        <w:tab/>
        <w:t>$16,</w:t>
      </w:r>
      <w:r w:rsidR="00B36E43">
        <w:t>769,511</w:t>
      </w:r>
    </w:p>
    <w:p w14:paraId="4085F233" w14:textId="77777777" w:rsidR="003E5AE2" w:rsidRDefault="003E5AE2">
      <w:pPr>
        <w:pStyle w:val="BodyText"/>
        <w:rPr>
          <w:sz w:val="26"/>
        </w:rPr>
      </w:pPr>
    </w:p>
    <w:p w14:paraId="6DA9673D" w14:textId="77777777" w:rsidR="003E5AE2" w:rsidRDefault="00F02F7A">
      <w:pPr>
        <w:pStyle w:val="Heading1"/>
        <w:numPr>
          <w:ilvl w:val="0"/>
          <w:numId w:val="1"/>
        </w:numPr>
        <w:tabs>
          <w:tab w:val="left" w:pos="1179"/>
          <w:tab w:val="left" w:pos="1180"/>
        </w:tabs>
        <w:spacing w:line="249" w:lineRule="auto"/>
        <w:ind w:left="1180" w:right="1230" w:hanging="720"/>
      </w:pPr>
      <w:r>
        <w:t>The</w:t>
      </w:r>
      <w:r>
        <w:rPr>
          <w:spacing w:val="-7"/>
        </w:rPr>
        <w:t xml:space="preserve"> </w:t>
      </w:r>
      <w:r>
        <w:t>agency's</w:t>
      </w:r>
      <w:r>
        <w:rPr>
          <w:spacing w:val="-7"/>
        </w:rPr>
        <w:t xml:space="preserve"> </w:t>
      </w:r>
      <w:r>
        <w:t>methodology,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market</w:t>
      </w:r>
      <w:r>
        <w:rPr>
          <w:spacing w:val="-7"/>
        </w:rPr>
        <w:t xml:space="preserve"> </w:t>
      </w:r>
      <w:r>
        <w:t>analysis,</w:t>
      </w:r>
      <w:r>
        <w:rPr>
          <w:spacing w:val="-7"/>
        </w:rPr>
        <w:t xml:space="preserve"> </w:t>
      </w:r>
      <w:r>
        <w:t>for determining the compensa</w:t>
      </w:r>
      <w:r w:rsidR="003A73AF">
        <w:t>ti</w:t>
      </w:r>
      <w:r>
        <w:t>on of execu</w:t>
      </w:r>
      <w:r w:rsidR="003A73AF">
        <w:t>ti</w:t>
      </w:r>
      <w:r>
        <w:t>ve staﬀ employed by the agency, along with the name and posi</w:t>
      </w:r>
      <w:r w:rsidR="003A73AF">
        <w:t>ti</w:t>
      </w:r>
      <w:r>
        <w:t>on of the person who selected the methodology;</w:t>
      </w:r>
    </w:p>
    <w:p w14:paraId="16EA91C3" w14:textId="77777777" w:rsidR="003E5AE2" w:rsidRDefault="003E5AE2">
      <w:pPr>
        <w:pStyle w:val="BodyText"/>
        <w:spacing w:before="9"/>
        <w:rPr>
          <w:b/>
          <w:sz w:val="21"/>
        </w:rPr>
      </w:pPr>
    </w:p>
    <w:p w14:paraId="3FE6B065" w14:textId="716E7009" w:rsidR="003E5AE2" w:rsidRPr="003A73AF" w:rsidRDefault="00F02F7A" w:rsidP="003A73AF">
      <w:pPr>
        <w:pStyle w:val="BodyText"/>
        <w:ind w:left="1180"/>
      </w:pPr>
      <w:r w:rsidRPr="003A73AF">
        <w:t>The deﬁni</w:t>
      </w:r>
      <w:r w:rsidR="003A73AF" w:rsidRPr="003A73AF">
        <w:t>ti</w:t>
      </w:r>
      <w:r w:rsidRPr="003A73AF">
        <w:t xml:space="preserve">on of a </w:t>
      </w:r>
      <w:r w:rsidR="00083B62" w:rsidRPr="003A73AF">
        <w:t>key executive</w:t>
      </w:r>
      <w:r w:rsidRPr="003A73AF">
        <w:t xml:space="preserve"> is those iden</w:t>
      </w:r>
      <w:r w:rsidR="003A73AF" w:rsidRPr="003A73AF">
        <w:t>ti</w:t>
      </w:r>
      <w:r w:rsidRPr="003A73AF">
        <w:t>ﬁed as a “Vice-Presidents” and “President”. The current methodology is deﬁned by the next level of supervision and assisted by the Execu</w:t>
      </w:r>
      <w:r w:rsidR="003A73AF" w:rsidRPr="003A73AF">
        <w:t>ti</w:t>
      </w:r>
      <w:r w:rsidRPr="003A73AF">
        <w:t>ve Director of Human Resources rela</w:t>
      </w:r>
      <w:r w:rsidR="003A73AF" w:rsidRPr="003A73AF">
        <w:t>ti</w:t>
      </w:r>
      <w:r w:rsidRPr="003A73AF">
        <w:t>ng to the review of compensa</w:t>
      </w:r>
      <w:r w:rsidR="003A73AF" w:rsidRPr="003A73AF">
        <w:t>ti</w:t>
      </w:r>
      <w:r w:rsidRPr="003A73AF">
        <w:t>on for key execu</w:t>
      </w:r>
      <w:r w:rsidR="003A73AF" w:rsidRPr="003A73AF">
        <w:t>ti</w:t>
      </w:r>
      <w:r w:rsidRPr="003A73AF">
        <w:t>ves. This would be the President in the review of the Vice President’s compensa</w:t>
      </w:r>
      <w:r w:rsidR="003A73AF" w:rsidRPr="003A73AF">
        <w:t>ti</w:t>
      </w:r>
      <w:r w:rsidRPr="003A73AF">
        <w:t xml:space="preserve">on and the Board </w:t>
      </w:r>
      <w:r w:rsidR="003A73AF" w:rsidRPr="003A73AF">
        <w:t>of Tru</w:t>
      </w:r>
      <w:r w:rsidRPr="003A73AF">
        <w:t>stees in the reviews of the College President.</w:t>
      </w:r>
      <w:r w:rsidR="00083B62">
        <w:t xml:space="preserve">  During Fiscal Year 2019, Tyler Junior College added the position of Chancellor and an addition Vice President.</w:t>
      </w:r>
    </w:p>
    <w:p w14:paraId="1009E245" w14:textId="77777777" w:rsidR="003E5AE2" w:rsidRPr="003A73AF" w:rsidRDefault="003E5AE2" w:rsidP="003A73AF">
      <w:pPr>
        <w:pStyle w:val="BodyText"/>
        <w:ind w:left="1180"/>
      </w:pPr>
    </w:p>
    <w:p w14:paraId="663A20CB" w14:textId="77777777" w:rsidR="003E5AE2" w:rsidRPr="003A73AF" w:rsidRDefault="00F02F7A" w:rsidP="003A73AF">
      <w:pPr>
        <w:pStyle w:val="BodyText"/>
        <w:ind w:left="1180"/>
      </w:pPr>
      <w:r w:rsidRPr="003A73AF">
        <w:t>U</w:t>
      </w:r>
      <w:r w:rsidR="003A73AF" w:rsidRPr="003A73AF">
        <w:t>ti</w:t>
      </w:r>
      <w:r w:rsidRPr="003A73AF">
        <w:t>liza</w:t>
      </w:r>
      <w:r w:rsidR="003A73AF" w:rsidRPr="003A73AF">
        <w:t>ti</w:t>
      </w:r>
      <w:r w:rsidRPr="003A73AF">
        <w:t>on of salary surveys are used in the methodology of salary placement. Tyler Junior College par</w:t>
      </w:r>
      <w:r w:rsidR="003A73AF" w:rsidRPr="003A73AF">
        <w:t>ti</w:t>
      </w:r>
      <w:r w:rsidRPr="003A73AF">
        <w:t>cipates in salary surveys each year conducted by ins</w:t>
      </w:r>
      <w:r w:rsidR="003A73AF" w:rsidRPr="003A73AF">
        <w:t>ti</w:t>
      </w:r>
      <w:r w:rsidRPr="003A73AF">
        <w:t>tu</w:t>
      </w:r>
      <w:r w:rsidR="003A73AF" w:rsidRPr="003A73AF">
        <w:t>ti</w:t>
      </w:r>
      <w:r w:rsidRPr="003A73AF">
        <w:t>ons, agencies, and organiza</w:t>
      </w:r>
      <w:r w:rsidR="003A73AF" w:rsidRPr="003A73AF">
        <w:t>ti</w:t>
      </w:r>
      <w:r w:rsidRPr="003A73AF">
        <w:t>ons. By being a par</w:t>
      </w:r>
      <w:r w:rsidR="003A73AF" w:rsidRPr="003A73AF">
        <w:t>ti</w:t>
      </w:r>
      <w:r w:rsidRPr="003A73AF">
        <w:t>cipant in the survey, the college receives access to the survey results.   Such surveys par</w:t>
      </w:r>
      <w:r w:rsidR="003A73AF" w:rsidRPr="003A73AF">
        <w:t>ti</w:t>
      </w:r>
      <w:r w:rsidRPr="003A73AF">
        <w:t>cipated in are the Texas Associa</w:t>
      </w:r>
      <w:r w:rsidR="003A73AF" w:rsidRPr="003A73AF">
        <w:t>ti</w:t>
      </w:r>
      <w:r w:rsidRPr="003A73AF">
        <w:t xml:space="preserve">on of Community College (TACC) and the Kilgore </w:t>
      </w:r>
      <w:r w:rsidR="003A73AF" w:rsidRPr="003A73AF">
        <w:t xml:space="preserve">Staff </w:t>
      </w:r>
      <w:r w:rsidRPr="003A73AF">
        <w:t xml:space="preserve">Survey.  The college also </w:t>
      </w:r>
      <w:r w:rsidR="003A73AF" w:rsidRPr="003A73AF">
        <w:t>utilize</w:t>
      </w:r>
      <w:r w:rsidRPr="003A73AF">
        <w:t xml:space="preserve"> data from the CUPA HR Salary Survey.</w:t>
      </w:r>
    </w:p>
    <w:p w14:paraId="5F0900A2" w14:textId="77777777" w:rsidR="003E5AE2" w:rsidRPr="003A73AF" w:rsidRDefault="003E5AE2" w:rsidP="003A73AF">
      <w:pPr>
        <w:pStyle w:val="BodyText"/>
        <w:ind w:left="1180"/>
      </w:pPr>
    </w:p>
    <w:p w14:paraId="776A2E79" w14:textId="77777777" w:rsidR="003E5AE2" w:rsidRPr="003A73AF" w:rsidRDefault="00F02F7A" w:rsidP="003A73AF">
      <w:pPr>
        <w:pStyle w:val="BodyText"/>
        <w:ind w:left="1180"/>
      </w:pPr>
      <w:r w:rsidRPr="003A73AF">
        <w:t xml:space="preserve">When seeking to compare Tyler Junior College to its peers, a number of factors are </w:t>
      </w:r>
      <w:proofErr w:type="gramStart"/>
      <w:r w:rsidRPr="003A73AF">
        <w:t>taken</w:t>
      </w:r>
      <w:proofErr w:type="gramEnd"/>
      <w:r w:rsidRPr="003A73AF">
        <w:t xml:space="preserve"> into considera</w:t>
      </w:r>
      <w:r w:rsidR="003A73AF" w:rsidRPr="003A73AF">
        <w:t>ti</w:t>
      </w:r>
      <w:r w:rsidRPr="003A73AF">
        <w:t>on, such the loca</w:t>
      </w:r>
      <w:r w:rsidR="003A73AF" w:rsidRPr="003A73AF">
        <w:t>ti</w:t>
      </w:r>
      <w:r w:rsidRPr="003A73AF">
        <w:t>on of the ins</w:t>
      </w:r>
      <w:r w:rsidR="003A73AF" w:rsidRPr="003A73AF">
        <w:t>ti</w:t>
      </w:r>
      <w:r w:rsidRPr="003A73AF">
        <w:t>tu</w:t>
      </w:r>
      <w:r w:rsidR="003A73AF" w:rsidRPr="003A73AF">
        <w:t>ti</w:t>
      </w:r>
      <w:r w:rsidRPr="003A73AF">
        <w:t>on and the rela</w:t>
      </w:r>
      <w:r w:rsidR="003A73AF" w:rsidRPr="003A73AF">
        <w:t>ti</w:t>
      </w:r>
      <w:r w:rsidRPr="003A73AF">
        <w:t>ve popula</w:t>
      </w:r>
      <w:r w:rsidR="003A73AF" w:rsidRPr="003A73AF">
        <w:t>ti</w:t>
      </w:r>
      <w:r w:rsidRPr="003A73AF">
        <w:t>on of the area surrounding the ins</w:t>
      </w:r>
      <w:r w:rsidR="003A73AF" w:rsidRPr="003A73AF">
        <w:t>ti</w:t>
      </w:r>
      <w:r w:rsidRPr="003A73AF">
        <w:t>tu</w:t>
      </w:r>
      <w:r w:rsidR="003A73AF" w:rsidRPr="003A73AF">
        <w:t>ti</w:t>
      </w:r>
      <w:r w:rsidRPr="003A73AF">
        <w:t>on, and the size of the ins</w:t>
      </w:r>
      <w:r w:rsidR="003A73AF" w:rsidRPr="003A73AF">
        <w:t>ti</w:t>
      </w:r>
      <w:r w:rsidRPr="003A73AF">
        <w:t>tu</w:t>
      </w:r>
      <w:r w:rsidR="003A73AF" w:rsidRPr="003A73AF">
        <w:t>ti</w:t>
      </w:r>
      <w:r w:rsidRPr="003A73AF">
        <w:t>ons (headcount of employees and/or students). These ins</w:t>
      </w:r>
      <w:r w:rsidR="003A73AF" w:rsidRPr="003A73AF">
        <w:t>ti</w:t>
      </w:r>
      <w:r w:rsidRPr="003A73AF">
        <w:t>tu</w:t>
      </w:r>
      <w:r w:rsidR="003A73AF" w:rsidRPr="003A73AF">
        <w:t>ti</w:t>
      </w:r>
      <w:r w:rsidRPr="003A73AF">
        <w:t>ons are considered for speciﬁc ad hoc query or survey. These peer ins</w:t>
      </w:r>
      <w:r w:rsidR="003A73AF" w:rsidRPr="003A73AF">
        <w:t>ti</w:t>
      </w:r>
      <w:r w:rsidRPr="003A73AF">
        <w:t>tu</w:t>
      </w:r>
      <w:r w:rsidR="003A73AF" w:rsidRPr="003A73AF">
        <w:t>ti</w:t>
      </w:r>
      <w:r w:rsidRPr="003A73AF">
        <w:t>ons generally include the following ins</w:t>
      </w:r>
      <w:r w:rsidR="003A73AF" w:rsidRPr="003A73AF">
        <w:t>ti</w:t>
      </w:r>
      <w:r w:rsidRPr="003A73AF">
        <w:t>tu</w:t>
      </w:r>
      <w:r w:rsidR="003A73AF" w:rsidRPr="003A73AF">
        <w:t>ti</w:t>
      </w:r>
      <w:r w:rsidRPr="003A73AF">
        <w:t>ons: Amarillo College, Blinn College,</w:t>
      </w:r>
      <w:r w:rsidR="003A73AF">
        <w:t xml:space="preserve"> </w:t>
      </w:r>
      <w:r w:rsidRPr="003A73AF">
        <w:t>Central Texas College, Del Mar College, Laredo Community College, Navarro College, North Central Texas College, and South Plains College.</w:t>
      </w:r>
    </w:p>
    <w:p w14:paraId="3F85E02D" w14:textId="77777777" w:rsidR="003E5AE2" w:rsidRPr="003A73AF" w:rsidRDefault="003E5AE2" w:rsidP="003A73AF">
      <w:pPr>
        <w:pStyle w:val="BodyText"/>
        <w:ind w:left="1180"/>
      </w:pPr>
    </w:p>
    <w:p w14:paraId="0DF600E2" w14:textId="77777777" w:rsidR="003E5AE2" w:rsidRPr="003A73AF" w:rsidRDefault="00F02F7A" w:rsidP="003A73AF">
      <w:pPr>
        <w:pStyle w:val="BodyText"/>
        <w:ind w:left="1180"/>
      </w:pPr>
      <w:r w:rsidRPr="003A73AF">
        <w:t>Surveys of local market ins</w:t>
      </w:r>
      <w:r w:rsidR="003A73AF" w:rsidRPr="003A73AF">
        <w:t>ti</w:t>
      </w:r>
      <w:r w:rsidRPr="003A73AF">
        <w:t>tu</w:t>
      </w:r>
      <w:r w:rsidR="003A73AF" w:rsidRPr="003A73AF">
        <w:t>ti</w:t>
      </w:r>
      <w:r w:rsidRPr="003A73AF">
        <w:t>ons include those ins</w:t>
      </w:r>
      <w:r w:rsidR="003A73AF" w:rsidRPr="003A73AF">
        <w:t>ti</w:t>
      </w:r>
      <w:r w:rsidRPr="003A73AF">
        <w:t>tu</w:t>
      </w:r>
      <w:r w:rsidR="003A73AF" w:rsidRPr="003A73AF">
        <w:t>ti</w:t>
      </w:r>
      <w:r w:rsidRPr="003A73AF">
        <w:t xml:space="preserve">ons located in the North East Texas area which are: Trinity Valley College, Kilgore College, Panola College, Navarro College, Paris College, Texarkana College, Angelina College and North East Texas </w:t>
      </w:r>
      <w:r w:rsidRPr="003A73AF">
        <w:lastRenderedPageBreak/>
        <w:t>College.</w:t>
      </w:r>
    </w:p>
    <w:p w14:paraId="318C8C1C" w14:textId="77777777" w:rsidR="003E5AE2" w:rsidRPr="003A73AF" w:rsidRDefault="003E5AE2" w:rsidP="003A73AF">
      <w:pPr>
        <w:pStyle w:val="BodyText"/>
        <w:ind w:left="1180"/>
      </w:pPr>
    </w:p>
    <w:p w14:paraId="77E7D5E0" w14:textId="77777777" w:rsidR="003E5AE2" w:rsidRPr="003A73AF" w:rsidRDefault="00F02F7A" w:rsidP="003A73AF">
      <w:pPr>
        <w:pStyle w:val="BodyText"/>
        <w:ind w:left="1180"/>
      </w:pPr>
      <w:r w:rsidRPr="003A73AF">
        <w:t>Oﬀers of employment are made based on internal equity, educa</w:t>
      </w:r>
      <w:r w:rsidR="003A73AF" w:rsidRPr="003A73AF">
        <w:t>ti</w:t>
      </w:r>
      <w:r w:rsidRPr="003A73AF">
        <w:t>on, posi</w:t>
      </w:r>
      <w:r w:rsidR="003A73AF" w:rsidRPr="003A73AF">
        <w:t>ti</w:t>
      </w:r>
      <w:r w:rsidRPr="003A73AF">
        <w:t>on experience and local market condi</w:t>
      </w:r>
      <w:r w:rsidR="003A73AF" w:rsidRPr="003A73AF">
        <w:t>ti</w:t>
      </w:r>
      <w:r w:rsidRPr="003A73AF">
        <w:t>ons. Requests for approval to oﬀer a salary above the approved salary schedules and supported by current budgets are presented to the President for approval.</w:t>
      </w:r>
    </w:p>
    <w:p w14:paraId="1404EC10" w14:textId="77777777" w:rsidR="003E5AE2" w:rsidRDefault="003E5AE2">
      <w:pPr>
        <w:pStyle w:val="BodyText"/>
        <w:spacing w:before="9"/>
        <w:rPr>
          <w:sz w:val="21"/>
        </w:rPr>
      </w:pPr>
    </w:p>
    <w:p w14:paraId="1BE0D4B1" w14:textId="77777777" w:rsidR="003E5AE2" w:rsidRDefault="00F02F7A">
      <w:pPr>
        <w:pStyle w:val="Heading1"/>
        <w:numPr>
          <w:ilvl w:val="0"/>
          <w:numId w:val="1"/>
        </w:numPr>
        <w:tabs>
          <w:tab w:val="left" w:pos="1119"/>
          <w:tab w:val="left" w:pos="1120"/>
        </w:tabs>
        <w:spacing w:before="1"/>
        <w:ind w:left="1120" w:hanging="660"/>
      </w:pPr>
      <w:r>
        <w:t>Whether execu</w:t>
      </w:r>
      <w:r w:rsidR="003A73AF">
        <w:t>ti</w:t>
      </w:r>
      <w:r>
        <w:t>ve staﬀ are eligible for a salary</w:t>
      </w:r>
      <w:r>
        <w:rPr>
          <w:spacing w:val="-20"/>
        </w:rPr>
        <w:t xml:space="preserve"> </w:t>
      </w:r>
      <w:r>
        <w:t>supplement;</w:t>
      </w:r>
    </w:p>
    <w:p w14:paraId="1B4C4A98" w14:textId="77777777" w:rsidR="003E5AE2" w:rsidRPr="003A73AF" w:rsidRDefault="00F02F7A" w:rsidP="003A73AF">
      <w:pPr>
        <w:pStyle w:val="BodyText"/>
        <w:ind w:left="1120"/>
      </w:pPr>
      <w:r w:rsidRPr="003A73AF">
        <w:t>Key execu</w:t>
      </w:r>
      <w:r w:rsidR="003A73AF" w:rsidRPr="003A73AF">
        <w:t>ti</w:t>
      </w:r>
      <w:r w:rsidRPr="003A73AF">
        <w:t>ves are eligible for salary supplement(s). Execu</w:t>
      </w:r>
      <w:r w:rsidR="003A73AF" w:rsidRPr="003A73AF">
        <w:t>ti</w:t>
      </w:r>
      <w:r w:rsidRPr="003A73AF">
        <w:t>ve staﬀ do not receive salary supplements.</w:t>
      </w:r>
    </w:p>
    <w:p w14:paraId="58D656D9" w14:textId="77777777" w:rsidR="003E5AE2" w:rsidRPr="003A73AF" w:rsidRDefault="003E5AE2" w:rsidP="003A73AF">
      <w:pPr>
        <w:pStyle w:val="BodyText"/>
        <w:ind w:left="1120"/>
      </w:pPr>
    </w:p>
    <w:p w14:paraId="31CEB46D" w14:textId="77777777" w:rsidR="003E5AE2" w:rsidRDefault="00F02F7A" w:rsidP="003A73AF">
      <w:pPr>
        <w:pStyle w:val="Heading1"/>
        <w:numPr>
          <w:ilvl w:val="0"/>
          <w:numId w:val="1"/>
        </w:numPr>
        <w:tabs>
          <w:tab w:val="left" w:pos="1080"/>
        </w:tabs>
        <w:spacing w:line="249" w:lineRule="auto"/>
        <w:ind w:left="1080" w:right="946" w:hanging="720"/>
      </w:pPr>
      <w:r>
        <w:t>The market average for compensa</w:t>
      </w:r>
      <w:r w:rsidR="003A73AF">
        <w:t>ti</w:t>
      </w:r>
      <w:r>
        <w:t>on of similar execu</w:t>
      </w:r>
      <w:r w:rsidR="003A73AF">
        <w:t>ti</w:t>
      </w:r>
      <w:r>
        <w:t>ve staﬀ in the private and public</w:t>
      </w:r>
      <w:r>
        <w:rPr>
          <w:spacing w:val="-2"/>
        </w:rPr>
        <w:t xml:space="preserve"> </w:t>
      </w:r>
      <w:r>
        <w:t>sectors;</w:t>
      </w:r>
    </w:p>
    <w:p w14:paraId="61EC7B28" w14:textId="77777777" w:rsidR="003E5AE2" w:rsidRPr="003A73AF" w:rsidRDefault="00F02F7A" w:rsidP="003A73AF">
      <w:pPr>
        <w:pStyle w:val="BodyText"/>
        <w:ind w:left="1120"/>
      </w:pPr>
      <w:r w:rsidRPr="003A73AF">
        <w:t>TJC has not used market averages from the public and private sectors to determine compensa</w:t>
      </w:r>
      <w:r w:rsidR="003A73AF" w:rsidRPr="003A73AF">
        <w:t>ti</w:t>
      </w:r>
      <w:r w:rsidRPr="003A73AF">
        <w:t>on rates for key execu</w:t>
      </w:r>
      <w:r w:rsidR="003A73AF" w:rsidRPr="003A73AF">
        <w:t>ti</w:t>
      </w:r>
      <w:r w:rsidRPr="003A73AF">
        <w:t>ves.</w:t>
      </w:r>
    </w:p>
    <w:p w14:paraId="483DAB43" w14:textId="77777777" w:rsidR="003E5AE2" w:rsidRPr="003A73AF" w:rsidRDefault="003E5AE2" w:rsidP="003A73AF">
      <w:pPr>
        <w:pStyle w:val="BodyText"/>
        <w:ind w:left="1120"/>
      </w:pPr>
    </w:p>
    <w:p w14:paraId="00DFFB3E" w14:textId="77777777" w:rsidR="003E5AE2" w:rsidRDefault="00F02F7A">
      <w:pPr>
        <w:pStyle w:val="Heading1"/>
        <w:numPr>
          <w:ilvl w:val="0"/>
          <w:numId w:val="1"/>
        </w:numPr>
        <w:tabs>
          <w:tab w:val="left" w:pos="1119"/>
          <w:tab w:val="left" w:pos="1120"/>
        </w:tabs>
        <w:spacing w:before="225" w:line="249" w:lineRule="auto"/>
        <w:ind w:left="1120" w:right="1148" w:hanging="660"/>
      </w:pPr>
      <w:r>
        <w:t>The average compensa</w:t>
      </w:r>
      <w:r w:rsidR="003A73AF">
        <w:t>ti</w:t>
      </w:r>
      <w:r>
        <w:t>on paid to employees employed by the agency who are not execu</w:t>
      </w:r>
      <w:r w:rsidR="003A73AF">
        <w:t>ti</w:t>
      </w:r>
      <w:r>
        <w:t>ve staﬀ;</w:t>
      </w:r>
      <w:r>
        <w:rPr>
          <w:spacing w:val="1"/>
        </w:rPr>
        <w:t xml:space="preserve"> </w:t>
      </w:r>
      <w:r>
        <w:t>and</w:t>
      </w:r>
    </w:p>
    <w:p w14:paraId="2BB61B18" w14:textId="77777777" w:rsidR="003E5AE2" w:rsidRDefault="003E5AE2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1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1142"/>
      </w:tblGrid>
      <w:tr w:rsidR="003E5AE2" w:rsidRPr="003A73AF" w14:paraId="085E784B" w14:textId="77777777" w:rsidTr="006340C4">
        <w:trPr>
          <w:trHeight w:val="262"/>
        </w:trPr>
        <w:tc>
          <w:tcPr>
            <w:tcW w:w="4623" w:type="dxa"/>
          </w:tcPr>
          <w:p w14:paraId="043A2996" w14:textId="77777777" w:rsidR="003E5AE2" w:rsidRPr="003A73AF" w:rsidRDefault="00F02F7A" w:rsidP="003A73AF">
            <w:pPr>
              <w:pStyle w:val="BodyText"/>
            </w:pPr>
            <w:r w:rsidRPr="003A73AF">
              <w:t>Average compensa</w:t>
            </w:r>
            <w:r w:rsidR="003A73AF" w:rsidRPr="003A73AF">
              <w:t>ti</w:t>
            </w:r>
            <w:r w:rsidRPr="003A73AF">
              <w:t>on – Faculty</w:t>
            </w:r>
          </w:p>
        </w:tc>
        <w:tc>
          <w:tcPr>
            <w:tcW w:w="1142" w:type="dxa"/>
          </w:tcPr>
          <w:p w14:paraId="465A1182" w14:textId="7011F2C2" w:rsidR="003E5AE2" w:rsidRPr="006C182D" w:rsidRDefault="00F02F7A" w:rsidP="003A73AF">
            <w:pPr>
              <w:pStyle w:val="BodyText"/>
            </w:pPr>
            <w:r w:rsidRPr="006C182D">
              <w:t>$</w:t>
            </w:r>
            <w:r w:rsidR="006C182D" w:rsidRPr="006C182D">
              <w:t>56,342</w:t>
            </w:r>
          </w:p>
        </w:tc>
      </w:tr>
      <w:tr w:rsidR="003E5AE2" w:rsidRPr="003A73AF" w14:paraId="1E62606B" w14:textId="77777777" w:rsidTr="006340C4">
        <w:trPr>
          <w:trHeight w:val="260"/>
        </w:trPr>
        <w:tc>
          <w:tcPr>
            <w:tcW w:w="4623" w:type="dxa"/>
          </w:tcPr>
          <w:p w14:paraId="2B3978C4" w14:textId="77777777" w:rsidR="003E5AE2" w:rsidRPr="003A73AF" w:rsidRDefault="00F02F7A" w:rsidP="003A73AF">
            <w:pPr>
              <w:pStyle w:val="BodyText"/>
            </w:pPr>
            <w:r w:rsidRPr="003A73AF">
              <w:t>Average compensa</w:t>
            </w:r>
            <w:r w:rsidR="003A73AF" w:rsidRPr="003A73AF">
              <w:t>ti</w:t>
            </w:r>
            <w:r w:rsidRPr="003A73AF">
              <w:t>on – Staﬀ</w:t>
            </w:r>
          </w:p>
        </w:tc>
        <w:tc>
          <w:tcPr>
            <w:tcW w:w="1142" w:type="dxa"/>
          </w:tcPr>
          <w:p w14:paraId="56DAAE6D" w14:textId="109229BC" w:rsidR="003E5AE2" w:rsidRPr="006C182D" w:rsidRDefault="00F02F7A" w:rsidP="003A73AF">
            <w:pPr>
              <w:pStyle w:val="BodyText"/>
            </w:pPr>
            <w:r w:rsidRPr="006C182D">
              <w:t>$</w:t>
            </w:r>
            <w:r w:rsidR="006C182D" w:rsidRPr="006C182D">
              <w:t>42,878</w:t>
            </w:r>
          </w:p>
        </w:tc>
      </w:tr>
      <w:tr w:rsidR="003E5AE2" w:rsidRPr="003A73AF" w14:paraId="4BAFB934" w14:textId="77777777" w:rsidTr="006340C4">
        <w:trPr>
          <w:trHeight w:val="261"/>
        </w:trPr>
        <w:tc>
          <w:tcPr>
            <w:tcW w:w="4623" w:type="dxa"/>
          </w:tcPr>
          <w:p w14:paraId="3F19B406" w14:textId="77777777" w:rsidR="003E5AE2" w:rsidRPr="003A73AF" w:rsidRDefault="00F02F7A" w:rsidP="003A73AF">
            <w:pPr>
              <w:pStyle w:val="BodyText"/>
            </w:pPr>
            <w:r w:rsidRPr="003A73AF">
              <w:t>Overall average of Faculty and Staﬀ</w:t>
            </w:r>
          </w:p>
        </w:tc>
        <w:tc>
          <w:tcPr>
            <w:tcW w:w="1142" w:type="dxa"/>
          </w:tcPr>
          <w:p w14:paraId="581C2B23" w14:textId="492D9573" w:rsidR="003E5AE2" w:rsidRPr="006C182D" w:rsidRDefault="00F02F7A" w:rsidP="003A73AF">
            <w:pPr>
              <w:pStyle w:val="BodyText"/>
            </w:pPr>
            <w:r w:rsidRPr="006C182D">
              <w:t>$4</w:t>
            </w:r>
            <w:r w:rsidR="006C182D" w:rsidRPr="006C182D">
              <w:t>9,610</w:t>
            </w:r>
          </w:p>
        </w:tc>
      </w:tr>
    </w:tbl>
    <w:p w14:paraId="2F60D16A" w14:textId="77777777" w:rsidR="003E5AE2" w:rsidRDefault="003E5AE2">
      <w:pPr>
        <w:pStyle w:val="BodyText"/>
        <w:rPr>
          <w:b/>
          <w:sz w:val="28"/>
        </w:rPr>
      </w:pPr>
    </w:p>
    <w:p w14:paraId="304E9AF6" w14:textId="46330D2D" w:rsidR="003E5AE2" w:rsidRPr="00A52CDB" w:rsidRDefault="00F02F7A" w:rsidP="003A73AF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before="180" w:line="249" w:lineRule="auto"/>
        <w:ind w:left="1120" w:right="1323" w:hanging="660"/>
        <w:rPr>
          <w:b/>
          <w:sz w:val="24"/>
        </w:rPr>
      </w:pPr>
      <w:r>
        <w:rPr>
          <w:b/>
          <w:sz w:val="24"/>
        </w:rPr>
        <w:t>The percentage increase in compensa</w:t>
      </w:r>
      <w:r w:rsidR="003A73AF">
        <w:rPr>
          <w:b/>
          <w:sz w:val="24"/>
        </w:rPr>
        <w:t>ti</w:t>
      </w:r>
      <w:r>
        <w:rPr>
          <w:b/>
          <w:sz w:val="24"/>
        </w:rPr>
        <w:t>on of execu</w:t>
      </w:r>
      <w:r w:rsidR="003A73AF">
        <w:rPr>
          <w:b/>
          <w:sz w:val="24"/>
        </w:rPr>
        <w:t>ti</w:t>
      </w:r>
      <w:r>
        <w:rPr>
          <w:b/>
          <w:sz w:val="24"/>
        </w:rPr>
        <w:t>ve staﬀ for each ﬁscal year of the ﬁve preceding ﬁscal years and the percentage increase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in</w:t>
      </w:r>
      <w:r w:rsidR="003A73AF">
        <w:rPr>
          <w:b/>
          <w:sz w:val="24"/>
        </w:rPr>
        <w:t xml:space="preserve"> </w:t>
      </w:r>
      <w:r w:rsidRPr="003A73AF">
        <w:rPr>
          <w:b/>
          <w:w w:val="105"/>
          <w:sz w:val="24"/>
        </w:rPr>
        <w:t>legisla</w:t>
      </w:r>
      <w:r w:rsidR="003A73AF" w:rsidRPr="003A73AF">
        <w:rPr>
          <w:b/>
          <w:w w:val="105"/>
          <w:sz w:val="24"/>
        </w:rPr>
        <w:t>ti</w:t>
      </w:r>
      <w:r w:rsidRPr="003A73AF">
        <w:rPr>
          <w:b/>
          <w:w w:val="105"/>
          <w:sz w:val="24"/>
        </w:rPr>
        <w:t>ve</w:t>
      </w:r>
      <w:r w:rsidRPr="003A73AF">
        <w:rPr>
          <w:b/>
          <w:spacing w:val="-29"/>
          <w:w w:val="105"/>
          <w:sz w:val="24"/>
        </w:rPr>
        <w:t xml:space="preserve"> </w:t>
      </w:r>
      <w:r w:rsidRPr="003A73AF">
        <w:rPr>
          <w:b/>
          <w:w w:val="105"/>
          <w:sz w:val="24"/>
        </w:rPr>
        <w:t>appropria</w:t>
      </w:r>
      <w:r w:rsidR="003A73AF" w:rsidRPr="003A73AF">
        <w:rPr>
          <w:b/>
          <w:w w:val="105"/>
          <w:sz w:val="24"/>
        </w:rPr>
        <w:t>ti</w:t>
      </w:r>
      <w:r w:rsidRPr="003A73AF">
        <w:rPr>
          <w:b/>
          <w:w w:val="105"/>
          <w:sz w:val="24"/>
        </w:rPr>
        <w:t>ons</w:t>
      </w:r>
      <w:r w:rsidRPr="003A73AF">
        <w:rPr>
          <w:b/>
          <w:spacing w:val="-29"/>
          <w:w w:val="105"/>
          <w:sz w:val="24"/>
        </w:rPr>
        <w:t xml:space="preserve"> </w:t>
      </w:r>
      <w:r w:rsidRPr="003A73AF">
        <w:rPr>
          <w:b/>
          <w:w w:val="105"/>
          <w:sz w:val="24"/>
        </w:rPr>
        <w:t>to</w:t>
      </w:r>
      <w:r w:rsidRPr="003A73AF">
        <w:rPr>
          <w:b/>
          <w:spacing w:val="-29"/>
          <w:w w:val="105"/>
          <w:sz w:val="24"/>
        </w:rPr>
        <w:t xml:space="preserve"> </w:t>
      </w:r>
      <w:r w:rsidRPr="003A73AF">
        <w:rPr>
          <w:b/>
          <w:w w:val="105"/>
          <w:sz w:val="24"/>
        </w:rPr>
        <w:t>the</w:t>
      </w:r>
      <w:r w:rsidRPr="003A73AF">
        <w:rPr>
          <w:b/>
          <w:spacing w:val="-29"/>
          <w:w w:val="105"/>
          <w:sz w:val="24"/>
        </w:rPr>
        <w:t xml:space="preserve"> </w:t>
      </w:r>
      <w:r w:rsidRPr="003A73AF">
        <w:rPr>
          <w:b/>
          <w:w w:val="105"/>
          <w:sz w:val="24"/>
        </w:rPr>
        <w:t>agency</w:t>
      </w:r>
      <w:r w:rsidRPr="003A73AF">
        <w:rPr>
          <w:b/>
          <w:spacing w:val="-32"/>
          <w:w w:val="105"/>
          <w:sz w:val="24"/>
        </w:rPr>
        <w:t xml:space="preserve"> </w:t>
      </w:r>
      <w:r w:rsidRPr="003A73AF">
        <w:rPr>
          <w:b/>
          <w:w w:val="105"/>
          <w:sz w:val="24"/>
        </w:rPr>
        <w:t>each</w:t>
      </w:r>
      <w:r w:rsidRPr="003A73AF">
        <w:rPr>
          <w:b/>
          <w:spacing w:val="-29"/>
          <w:w w:val="105"/>
          <w:sz w:val="24"/>
        </w:rPr>
        <w:t xml:space="preserve"> </w:t>
      </w:r>
      <w:r w:rsidRPr="003A73AF">
        <w:rPr>
          <w:b/>
          <w:w w:val="105"/>
          <w:sz w:val="24"/>
        </w:rPr>
        <w:t>ﬁscal</w:t>
      </w:r>
      <w:r w:rsidRPr="003A73AF">
        <w:rPr>
          <w:b/>
          <w:spacing w:val="-32"/>
          <w:w w:val="105"/>
          <w:sz w:val="24"/>
        </w:rPr>
        <w:t xml:space="preserve"> </w:t>
      </w:r>
      <w:r w:rsidRPr="003A73AF">
        <w:rPr>
          <w:b/>
          <w:w w:val="105"/>
          <w:sz w:val="24"/>
        </w:rPr>
        <w:t>year</w:t>
      </w:r>
      <w:r w:rsidRPr="003A73AF">
        <w:rPr>
          <w:b/>
          <w:spacing w:val="-32"/>
          <w:w w:val="105"/>
          <w:sz w:val="24"/>
        </w:rPr>
        <w:t xml:space="preserve"> </w:t>
      </w:r>
      <w:r w:rsidRPr="003A73AF">
        <w:rPr>
          <w:b/>
          <w:w w:val="105"/>
          <w:sz w:val="24"/>
        </w:rPr>
        <w:t>of</w:t>
      </w:r>
      <w:r w:rsidRPr="003A73AF">
        <w:rPr>
          <w:b/>
          <w:spacing w:val="-31"/>
          <w:w w:val="105"/>
          <w:sz w:val="24"/>
        </w:rPr>
        <w:t xml:space="preserve"> </w:t>
      </w:r>
      <w:r w:rsidRPr="003A73AF">
        <w:rPr>
          <w:b/>
          <w:w w:val="105"/>
          <w:sz w:val="24"/>
        </w:rPr>
        <w:t>the</w:t>
      </w:r>
      <w:r w:rsidRPr="003A73AF">
        <w:rPr>
          <w:b/>
          <w:spacing w:val="-29"/>
          <w:w w:val="105"/>
          <w:sz w:val="24"/>
        </w:rPr>
        <w:t xml:space="preserve"> </w:t>
      </w:r>
      <w:r w:rsidRPr="003A73AF">
        <w:rPr>
          <w:b/>
          <w:w w:val="105"/>
          <w:sz w:val="24"/>
        </w:rPr>
        <w:t>ﬁve</w:t>
      </w:r>
      <w:r w:rsidRPr="003A73AF">
        <w:rPr>
          <w:b/>
          <w:spacing w:val="-29"/>
          <w:w w:val="105"/>
          <w:sz w:val="24"/>
        </w:rPr>
        <w:t xml:space="preserve"> </w:t>
      </w:r>
      <w:r w:rsidRPr="003A73AF">
        <w:rPr>
          <w:b/>
          <w:w w:val="105"/>
          <w:sz w:val="24"/>
        </w:rPr>
        <w:t>preceding ﬁscal</w:t>
      </w:r>
      <w:r w:rsidRPr="003A73AF">
        <w:rPr>
          <w:b/>
          <w:spacing w:val="-10"/>
          <w:w w:val="105"/>
          <w:sz w:val="24"/>
        </w:rPr>
        <w:t xml:space="preserve"> </w:t>
      </w:r>
      <w:r w:rsidRPr="003A73AF">
        <w:rPr>
          <w:b/>
          <w:w w:val="105"/>
          <w:sz w:val="24"/>
        </w:rPr>
        <w:t>years.</w:t>
      </w:r>
    </w:p>
    <w:p w14:paraId="2F8D54A2" w14:textId="77777777" w:rsidR="00A52CDB" w:rsidRPr="003A73AF" w:rsidRDefault="00A52CDB" w:rsidP="00A52CDB">
      <w:pPr>
        <w:pStyle w:val="ListParagraph"/>
        <w:tabs>
          <w:tab w:val="left" w:pos="1119"/>
          <w:tab w:val="left" w:pos="1120"/>
        </w:tabs>
        <w:spacing w:before="180" w:line="249" w:lineRule="auto"/>
        <w:ind w:right="1323" w:firstLine="0"/>
        <w:rPr>
          <w:b/>
          <w:sz w:val="24"/>
        </w:rPr>
      </w:pPr>
    </w:p>
    <w:tbl>
      <w:tblPr>
        <w:tblW w:w="8746" w:type="dxa"/>
        <w:tblLook w:val="04A0" w:firstRow="1" w:lastRow="0" w:firstColumn="1" w:lastColumn="0" w:noHBand="0" w:noVBand="1"/>
      </w:tblPr>
      <w:tblGrid>
        <w:gridCol w:w="3145"/>
        <w:gridCol w:w="1120"/>
        <w:gridCol w:w="1120"/>
        <w:gridCol w:w="1120"/>
        <w:gridCol w:w="1121"/>
        <w:gridCol w:w="1120"/>
      </w:tblGrid>
      <w:tr w:rsidR="00A52CDB" w:rsidRPr="00A52CDB" w14:paraId="4ED3A177" w14:textId="77777777" w:rsidTr="00083B62">
        <w:trPr>
          <w:trHeight w:val="30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48B80F" w14:textId="77777777" w:rsidR="00A52CDB" w:rsidRPr="00A52CDB" w:rsidRDefault="00A52CDB" w:rsidP="00A52CD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5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C9D26A" w14:textId="77777777" w:rsidR="00A52CDB" w:rsidRPr="00A52CDB" w:rsidRDefault="00A52CDB" w:rsidP="00A52C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CDB">
              <w:rPr>
                <w:rFonts w:ascii="Calibri" w:eastAsia="Times New Roman" w:hAnsi="Calibri" w:cs="Calibri"/>
                <w:color w:val="000000"/>
              </w:rPr>
              <w:t>FY2019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9A2AD6" w14:textId="77777777" w:rsidR="00A52CDB" w:rsidRPr="00A52CDB" w:rsidRDefault="00A52CDB" w:rsidP="00A52C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CDB">
              <w:rPr>
                <w:rFonts w:ascii="Calibri" w:eastAsia="Times New Roman" w:hAnsi="Calibri" w:cs="Calibri"/>
                <w:color w:val="000000"/>
              </w:rPr>
              <w:t>FY2018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6A372C" w14:textId="77777777" w:rsidR="00A52CDB" w:rsidRPr="00A52CDB" w:rsidRDefault="00A52CDB" w:rsidP="00A52C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CDB">
              <w:rPr>
                <w:rFonts w:ascii="Calibri" w:eastAsia="Times New Roman" w:hAnsi="Calibri" w:cs="Calibri"/>
                <w:color w:val="000000"/>
              </w:rPr>
              <w:t>FY2017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D36E3F" w14:textId="77777777" w:rsidR="00A52CDB" w:rsidRPr="00A52CDB" w:rsidRDefault="00A52CDB" w:rsidP="00A52C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CDB">
              <w:rPr>
                <w:rFonts w:ascii="Calibri" w:eastAsia="Times New Roman" w:hAnsi="Calibri" w:cs="Calibri"/>
                <w:color w:val="000000"/>
              </w:rPr>
              <w:t xml:space="preserve">FY2016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3949DE" w14:textId="77777777" w:rsidR="00A52CDB" w:rsidRPr="00A52CDB" w:rsidRDefault="00A52CDB" w:rsidP="00A52C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CDB">
              <w:rPr>
                <w:rFonts w:ascii="Calibri" w:eastAsia="Times New Roman" w:hAnsi="Calibri" w:cs="Calibri"/>
                <w:color w:val="000000"/>
              </w:rPr>
              <w:t>FY2015</w:t>
            </w:r>
          </w:p>
        </w:tc>
      </w:tr>
      <w:tr w:rsidR="00A52CDB" w:rsidRPr="00A52CDB" w14:paraId="7998ECE2" w14:textId="77777777" w:rsidTr="00083B62">
        <w:trPr>
          <w:trHeight w:val="3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2793" w14:textId="77777777" w:rsidR="00A52CDB" w:rsidRPr="00A52CDB" w:rsidRDefault="00A52CDB" w:rsidP="00A52CD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52CDB">
              <w:rPr>
                <w:rFonts w:ascii="Calibri" w:eastAsia="Times New Roman" w:hAnsi="Calibri" w:cs="Calibri"/>
                <w:color w:val="000000"/>
              </w:rPr>
              <w:t>Executive Staff Compensation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07F8" w14:textId="16E3191A" w:rsidR="00A52CDB" w:rsidRPr="00A52CDB" w:rsidRDefault="00941578" w:rsidP="009415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A52CDB" w:rsidRPr="00A52CD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9F90" w14:textId="18E14878" w:rsidR="00A52CDB" w:rsidRPr="00A52CDB" w:rsidRDefault="00941578" w:rsidP="009415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A52CDB" w:rsidRPr="00A52CDB">
              <w:rPr>
                <w:rFonts w:ascii="Calibri" w:eastAsia="Times New Roman" w:hAnsi="Calibri" w:cs="Calibri"/>
                <w:color w:val="000000"/>
              </w:rPr>
              <w:t>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+ $600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5BC9" w14:textId="5AC5A2A6" w:rsidR="00A52CDB" w:rsidRPr="00A52CDB" w:rsidRDefault="00A52CDB" w:rsidP="009415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CDB">
              <w:rPr>
                <w:rFonts w:ascii="Calibri" w:eastAsia="Times New Roman" w:hAnsi="Calibri" w:cs="Calibri"/>
                <w:color w:val="000000"/>
              </w:rPr>
              <w:t>2%</w:t>
            </w:r>
            <w:r w:rsidR="00941578">
              <w:rPr>
                <w:rFonts w:ascii="Calibri" w:eastAsia="Times New Roman" w:hAnsi="Calibri" w:cs="Calibri"/>
                <w:color w:val="000000"/>
              </w:rPr>
              <w:t xml:space="preserve"> + 800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0D40" w14:textId="796D8608" w:rsidR="00A52CDB" w:rsidRPr="00A52CDB" w:rsidRDefault="00941578" w:rsidP="009415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A52CDB" w:rsidRPr="00A52CDB">
              <w:rPr>
                <w:rFonts w:ascii="Calibri" w:eastAsia="Times New Roman" w:hAnsi="Calibri" w:cs="Calibri"/>
                <w:color w:val="000000"/>
              </w:rPr>
              <w:t>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+ $200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4B48" w14:textId="77777777" w:rsidR="00A52CDB" w:rsidRPr="00A52CDB" w:rsidRDefault="00A52CDB" w:rsidP="00A52C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CDB">
              <w:rPr>
                <w:rFonts w:ascii="Calibri" w:eastAsia="Times New Roman" w:hAnsi="Calibri" w:cs="Calibri"/>
                <w:color w:val="000000"/>
              </w:rPr>
              <w:t>2%*</w:t>
            </w:r>
          </w:p>
        </w:tc>
      </w:tr>
      <w:tr w:rsidR="00A52CDB" w:rsidRPr="00A52CDB" w14:paraId="238CE43A" w14:textId="77777777" w:rsidTr="00083B62">
        <w:trPr>
          <w:trHeight w:val="3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913C" w14:textId="77777777" w:rsidR="00A52CDB" w:rsidRPr="00A52CDB" w:rsidRDefault="00A52CDB" w:rsidP="00A52CD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52CDB">
              <w:rPr>
                <w:rFonts w:ascii="Calibri" w:eastAsia="Times New Roman" w:hAnsi="Calibri" w:cs="Calibri"/>
                <w:color w:val="000000"/>
              </w:rPr>
              <w:t>Legislative Appropriations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A3CE" w14:textId="77777777" w:rsidR="00A52CDB" w:rsidRPr="00A52CDB" w:rsidRDefault="00A52CDB" w:rsidP="00A52C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CDB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FD29" w14:textId="77777777" w:rsidR="00A52CDB" w:rsidRPr="00A52CDB" w:rsidRDefault="00A52CDB" w:rsidP="00A52C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CDB">
              <w:rPr>
                <w:rFonts w:ascii="Calibri" w:eastAsia="Times New Roman" w:hAnsi="Calibri" w:cs="Calibri"/>
                <w:color w:val="000000"/>
              </w:rPr>
              <w:t>0.85%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FA3D" w14:textId="77777777" w:rsidR="00A52CDB" w:rsidRPr="00A52CDB" w:rsidRDefault="00A52CDB" w:rsidP="00A52C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CDB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E907" w14:textId="77777777" w:rsidR="00A52CDB" w:rsidRPr="00A52CDB" w:rsidRDefault="00A52CDB" w:rsidP="00A52C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A52CDB">
              <w:rPr>
                <w:rFonts w:ascii="Calibri" w:eastAsia="Times New Roman" w:hAnsi="Calibri" w:cs="Calibri"/>
                <w:color w:val="FF0000"/>
              </w:rPr>
              <w:t>-0.96%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768D" w14:textId="77777777" w:rsidR="00A52CDB" w:rsidRPr="00A52CDB" w:rsidRDefault="00A52CDB" w:rsidP="00A52C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CDB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</w:tr>
      <w:tr w:rsidR="00A52CDB" w:rsidRPr="00A52CDB" w14:paraId="10DB4000" w14:textId="77777777" w:rsidTr="00941578">
        <w:trPr>
          <w:trHeight w:val="30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C5936" w14:textId="15A5D473" w:rsidR="00083B62" w:rsidRPr="00A52CDB" w:rsidRDefault="00083B62" w:rsidP="00A52CD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76C26" w14:textId="77777777" w:rsidR="00A52CDB" w:rsidRPr="00A52CDB" w:rsidRDefault="00A52CDB" w:rsidP="00A52CD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CA747" w14:textId="77777777" w:rsidR="00A52CDB" w:rsidRPr="00A52CDB" w:rsidRDefault="00A52CDB" w:rsidP="00A52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A0E7B" w14:textId="77777777" w:rsidR="00A52CDB" w:rsidRPr="00A52CDB" w:rsidRDefault="00A52CDB" w:rsidP="00A52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A6DA8" w14:textId="77777777" w:rsidR="00A52CDB" w:rsidRPr="00A52CDB" w:rsidRDefault="00A52CDB" w:rsidP="00A52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DB23A" w14:textId="77777777" w:rsidR="00A52CDB" w:rsidRPr="00A52CDB" w:rsidRDefault="00A52CDB" w:rsidP="00A52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9BA5D5" w14:textId="377DEAC6" w:rsidR="003E5AE2" w:rsidRDefault="003E5AE2">
      <w:pPr>
        <w:pStyle w:val="BodyText"/>
        <w:spacing w:before="3"/>
        <w:rPr>
          <w:b/>
          <w:sz w:val="18"/>
        </w:rPr>
      </w:pPr>
    </w:p>
    <w:p w14:paraId="0322EB69" w14:textId="0169E37A" w:rsidR="003E5AE2" w:rsidRDefault="00F02F7A">
      <w:pPr>
        <w:spacing w:before="215" w:line="249" w:lineRule="auto"/>
        <w:ind w:left="100" w:right="854"/>
        <w:rPr>
          <w:sz w:val="24"/>
        </w:rPr>
      </w:pPr>
      <w:r>
        <w:rPr>
          <w:b/>
          <w:sz w:val="24"/>
        </w:rPr>
        <w:t>Did the agency or higher</w:t>
      </w:r>
      <w:r w:rsidR="003A73AF">
        <w:rPr>
          <w:b/>
          <w:sz w:val="24"/>
        </w:rPr>
        <w:t xml:space="preserve"> education institution make this informati</w:t>
      </w:r>
      <w:r>
        <w:rPr>
          <w:b/>
          <w:sz w:val="24"/>
        </w:rPr>
        <w:t xml:space="preserve">on available on its Internet website? See </w:t>
      </w:r>
      <w:r>
        <w:rPr>
          <w:color w:val="0000FF"/>
          <w:sz w:val="24"/>
          <w:u w:val="single" w:color="0000FF"/>
        </w:rPr>
        <w:t>Consumer Informa</w:t>
      </w:r>
      <w:r w:rsidR="003A73AF">
        <w:rPr>
          <w:color w:val="0000FF"/>
          <w:sz w:val="24"/>
          <w:u w:val="single" w:color="0000FF"/>
        </w:rPr>
        <w:t>ti</w:t>
      </w:r>
      <w:r>
        <w:rPr>
          <w:color w:val="0000FF"/>
          <w:sz w:val="24"/>
          <w:u w:val="single" w:color="0000FF"/>
        </w:rPr>
        <w:t>on</w:t>
      </w:r>
      <w:r>
        <w:rPr>
          <w:color w:val="0000FF"/>
          <w:sz w:val="24"/>
        </w:rPr>
        <w:t xml:space="preserve"> </w:t>
      </w:r>
      <w:r>
        <w:rPr>
          <w:sz w:val="24"/>
        </w:rPr>
        <w:t>on TJC’s website.</w:t>
      </w:r>
    </w:p>
    <w:p w14:paraId="564878B7" w14:textId="354BE391" w:rsidR="00941578" w:rsidRDefault="00941578">
      <w:pPr>
        <w:spacing w:before="215" w:line="249" w:lineRule="auto"/>
        <w:ind w:left="100" w:right="854"/>
        <w:rPr>
          <w:sz w:val="24"/>
        </w:rPr>
      </w:pPr>
      <w:bookmarkStart w:id="0" w:name="_GoBack"/>
      <w:bookmarkEnd w:id="0"/>
    </w:p>
    <w:sectPr w:rsidR="00941578">
      <w:pgSz w:w="12240" w:h="15840"/>
      <w:pgMar w:top="64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AAC"/>
    <w:multiLevelType w:val="hybridMultilevel"/>
    <w:tmpl w:val="6B121A60"/>
    <w:lvl w:ilvl="0" w:tplc="2306FC0C">
      <w:start w:val="1"/>
      <w:numFmt w:val="upperRoman"/>
      <w:lvlText w:val="%1."/>
      <w:lvlJc w:val="left"/>
      <w:pPr>
        <w:ind w:left="779" w:hanging="320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</w:rPr>
    </w:lvl>
    <w:lvl w:ilvl="1" w:tplc="FE3E2E8C">
      <w:numFmt w:val="bullet"/>
      <w:lvlText w:val="•"/>
      <w:lvlJc w:val="left"/>
      <w:pPr>
        <w:ind w:left="1730" w:hanging="320"/>
      </w:pPr>
      <w:rPr>
        <w:rFonts w:hint="default"/>
      </w:rPr>
    </w:lvl>
    <w:lvl w:ilvl="2" w:tplc="28E8CA7C">
      <w:numFmt w:val="bullet"/>
      <w:lvlText w:val="•"/>
      <w:lvlJc w:val="left"/>
      <w:pPr>
        <w:ind w:left="2680" w:hanging="320"/>
      </w:pPr>
      <w:rPr>
        <w:rFonts w:hint="default"/>
      </w:rPr>
    </w:lvl>
    <w:lvl w:ilvl="3" w:tplc="95D0DC9C">
      <w:numFmt w:val="bullet"/>
      <w:lvlText w:val="•"/>
      <w:lvlJc w:val="left"/>
      <w:pPr>
        <w:ind w:left="3630" w:hanging="320"/>
      </w:pPr>
      <w:rPr>
        <w:rFonts w:hint="default"/>
      </w:rPr>
    </w:lvl>
    <w:lvl w:ilvl="4" w:tplc="03AC233E">
      <w:numFmt w:val="bullet"/>
      <w:lvlText w:val="•"/>
      <w:lvlJc w:val="left"/>
      <w:pPr>
        <w:ind w:left="4580" w:hanging="320"/>
      </w:pPr>
      <w:rPr>
        <w:rFonts w:hint="default"/>
      </w:rPr>
    </w:lvl>
    <w:lvl w:ilvl="5" w:tplc="89424916">
      <w:numFmt w:val="bullet"/>
      <w:lvlText w:val="•"/>
      <w:lvlJc w:val="left"/>
      <w:pPr>
        <w:ind w:left="5530" w:hanging="320"/>
      </w:pPr>
      <w:rPr>
        <w:rFonts w:hint="default"/>
      </w:rPr>
    </w:lvl>
    <w:lvl w:ilvl="6" w:tplc="2ED4DC58">
      <w:numFmt w:val="bullet"/>
      <w:lvlText w:val="•"/>
      <w:lvlJc w:val="left"/>
      <w:pPr>
        <w:ind w:left="6480" w:hanging="320"/>
      </w:pPr>
      <w:rPr>
        <w:rFonts w:hint="default"/>
      </w:rPr>
    </w:lvl>
    <w:lvl w:ilvl="7" w:tplc="B04A97FC">
      <w:numFmt w:val="bullet"/>
      <w:lvlText w:val="•"/>
      <w:lvlJc w:val="left"/>
      <w:pPr>
        <w:ind w:left="7430" w:hanging="320"/>
      </w:pPr>
      <w:rPr>
        <w:rFonts w:hint="default"/>
      </w:rPr>
    </w:lvl>
    <w:lvl w:ilvl="8" w:tplc="12FA88CC">
      <w:numFmt w:val="bullet"/>
      <w:lvlText w:val="•"/>
      <w:lvlJc w:val="left"/>
      <w:pPr>
        <w:ind w:left="8380" w:hanging="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0MDa3NDE1trA0N7ZQ0lEKTi0uzszPAykwrAUAyOuOjCwAAAA="/>
  </w:docVars>
  <w:rsids>
    <w:rsidRoot w:val="003E5AE2"/>
    <w:rsid w:val="00083B62"/>
    <w:rsid w:val="000C70B6"/>
    <w:rsid w:val="0021677E"/>
    <w:rsid w:val="003A73AF"/>
    <w:rsid w:val="003E5AE2"/>
    <w:rsid w:val="00535D5F"/>
    <w:rsid w:val="006340C4"/>
    <w:rsid w:val="006C182D"/>
    <w:rsid w:val="006E4FDC"/>
    <w:rsid w:val="00941578"/>
    <w:rsid w:val="00A52CDB"/>
    <w:rsid w:val="00B36E43"/>
    <w:rsid w:val="00DD05A0"/>
    <w:rsid w:val="00F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004F"/>
  <w15:docId w15:val="{A44195DC-C934-4021-B1DE-257A707A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ato" w:eastAsia="Lato" w:hAnsi="Lato" w:cs="Lato"/>
    </w:rPr>
  </w:style>
  <w:style w:type="paragraph" w:styleId="Heading1">
    <w:name w:val="heading 1"/>
    <w:basedOn w:val="Normal"/>
    <w:uiPriority w:val="1"/>
    <w:qFormat/>
    <w:pPr>
      <w:ind w:left="1120" w:hanging="6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0" w:hanging="660"/>
    </w:pPr>
  </w:style>
  <w:style w:type="paragraph" w:customStyle="1" w:styleId="TableParagraph">
    <w:name w:val="Table Paragraph"/>
    <w:basedOn w:val="Normal"/>
    <w:uiPriority w:val="1"/>
    <w:qFormat/>
    <w:pPr>
      <w:spacing w:line="24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Afton Barber</dc:creator>
  <cp:lastModifiedBy>Kevin Fowler</cp:lastModifiedBy>
  <cp:revision>4</cp:revision>
  <dcterms:created xsi:type="dcterms:W3CDTF">2020-01-31T13:44:00Z</dcterms:created>
  <dcterms:modified xsi:type="dcterms:W3CDTF">2020-01-31T23:02:00Z</dcterms:modified>
</cp:coreProperties>
</file>