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rawings/drawing2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E0" w:rsidRPr="004473B8" w:rsidRDefault="00F85CD2" w:rsidP="00F85CD2">
      <w:pPr>
        <w:jc w:val="center"/>
        <w:rPr>
          <w:rFonts w:ascii="Lato Medium" w:hAnsi="Lato Medium"/>
          <w:b/>
          <w:sz w:val="32"/>
        </w:rPr>
      </w:pPr>
      <w:r w:rsidRPr="004473B8">
        <w:rPr>
          <w:rFonts w:ascii="Lato Medium" w:hAnsi="Lato Medium"/>
          <w:b/>
          <w:sz w:val="32"/>
        </w:rPr>
        <w:t>TJC Student Achievement Data</w:t>
      </w:r>
    </w:p>
    <w:p w:rsidR="00F07517" w:rsidRDefault="00F07517" w:rsidP="00F07517">
      <w:pPr>
        <w:rPr>
          <w:rFonts w:ascii="Lato Medium" w:hAnsi="Lato Medium"/>
        </w:rPr>
      </w:pPr>
    </w:p>
    <w:p w:rsidR="00F07517" w:rsidRDefault="00F07517" w:rsidP="00F07517">
      <w:pPr>
        <w:rPr>
          <w:rFonts w:ascii="Lato Medium" w:hAnsi="Lato Medium"/>
        </w:rPr>
      </w:pPr>
      <w:r>
        <w:rPr>
          <w:rFonts w:ascii="Lato Medium" w:hAnsi="Lato Medium"/>
        </w:rPr>
        <w:t xml:space="preserve">Student achievement is the driving force behind Tyler Junior College’s mission: </w:t>
      </w:r>
      <w:r w:rsidR="00312C1B">
        <w:rPr>
          <w:rFonts w:ascii="Lato Medium" w:hAnsi="Lato Medium"/>
        </w:rPr>
        <w:t>The</w:t>
      </w:r>
      <w:r>
        <w:rPr>
          <w:rFonts w:ascii="Lato Medium" w:hAnsi="Lato Medium"/>
        </w:rPr>
        <w:t xml:space="preserve"> College champions student and community success by providing a caring, comprehensive experience through educational excellence, stellar service, innovative programming and authentic partnerships. One of the four priorities of Tyler Junior College’s 2020-2026 Strategic Plan is Educational Excellence. Four key indicators, which are consistent with the College’s mission, have been chosen to measure student achievement: Persistence Rates, Completion Rates, State Licensing Exam Pass Rates and Working/Enrollment Rates within one year of completion. (note that some indicators have multiple metrics).</w:t>
      </w:r>
    </w:p>
    <w:p w:rsidR="00F07517" w:rsidRDefault="00F07517" w:rsidP="00F07517">
      <w:pPr>
        <w:rPr>
          <w:rFonts w:ascii="Lato Medium" w:hAnsi="Lato Medium"/>
        </w:rPr>
      </w:pPr>
    </w:p>
    <w:p w:rsidR="00F07517" w:rsidRDefault="00F07517" w:rsidP="00F07517">
      <w:pPr>
        <w:rPr>
          <w:rFonts w:ascii="Lato Medium" w:hAnsi="Lato Medium"/>
        </w:rPr>
      </w:pPr>
      <w:r>
        <w:rPr>
          <w:rFonts w:ascii="Lato Medium" w:hAnsi="Lato Medium"/>
        </w:rPr>
        <w:t>For each of our student achievement indicators, the following two metrics have been established:</w:t>
      </w:r>
    </w:p>
    <w:p w:rsidR="00F07517" w:rsidRPr="00212DD8" w:rsidRDefault="00F07517" w:rsidP="00F07517">
      <w:pPr>
        <w:pStyle w:val="ListParagraph"/>
        <w:numPr>
          <w:ilvl w:val="0"/>
          <w:numId w:val="1"/>
        </w:numPr>
        <w:rPr>
          <w:rFonts w:ascii="Lato Medium" w:hAnsi="Lato Medium"/>
        </w:rPr>
      </w:pPr>
      <w:r w:rsidRPr="00212DD8">
        <w:rPr>
          <w:rFonts w:ascii="Lato Medium" w:hAnsi="Lato Medium"/>
        </w:rPr>
        <w:t>Target level of performance</w:t>
      </w:r>
      <w:r>
        <w:rPr>
          <w:rFonts w:ascii="Lato Medium" w:hAnsi="Lato Medium"/>
        </w:rPr>
        <w:t xml:space="preserve"> -- </w:t>
      </w:r>
      <w:r w:rsidRPr="00212DD8">
        <w:rPr>
          <w:rFonts w:ascii="Lato Medium" w:hAnsi="Lato Medium"/>
        </w:rPr>
        <w:t>the level of performance that the College seeks to attain in the ne</w:t>
      </w:r>
      <w:r>
        <w:rPr>
          <w:rFonts w:ascii="Lato Medium" w:hAnsi="Lato Medium"/>
        </w:rPr>
        <w:t>ar future,</w:t>
      </w:r>
      <w:r w:rsidRPr="00212DD8">
        <w:rPr>
          <w:rFonts w:ascii="Lato Medium" w:hAnsi="Lato Medium"/>
        </w:rPr>
        <w:t xml:space="preserve"> </w:t>
      </w:r>
    </w:p>
    <w:p w:rsidR="00F07517" w:rsidRPr="0062760A" w:rsidRDefault="00F07517" w:rsidP="00F07517">
      <w:pPr>
        <w:pStyle w:val="ListParagraph"/>
        <w:numPr>
          <w:ilvl w:val="0"/>
          <w:numId w:val="1"/>
        </w:numPr>
        <w:rPr>
          <w:rFonts w:ascii="Lato Medium" w:hAnsi="Lato Medium"/>
        </w:rPr>
      </w:pPr>
      <w:r w:rsidRPr="00212DD8">
        <w:rPr>
          <w:rFonts w:ascii="Lato Medium" w:hAnsi="Lato Medium"/>
        </w:rPr>
        <w:t>Minimum threshold</w:t>
      </w:r>
      <w:r>
        <w:rPr>
          <w:rFonts w:ascii="Lato Medium" w:hAnsi="Lato Medium"/>
        </w:rPr>
        <w:t xml:space="preserve"> -- </w:t>
      </w:r>
      <w:r w:rsidRPr="00212DD8">
        <w:rPr>
          <w:rFonts w:ascii="Lato Medium" w:hAnsi="Lato Medium"/>
        </w:rPr>
        <w:t>acts as a trouble indicator, which the College seeks to</w:t>
      </w:r>
      <w:r>
        <w:rPr>
          <w:rFonts w:ascii="Lato Medium" w:hAnsi="Lato Medium"/>
        </w:rPr>
        <w:t xml:space="preserve"> never</w:t>
      </w:r>
      <w:r w:rsidRPr="00212DD8">
        <w:rPr>
          <w:rFonts w:ascii="Lato Medium" w:hAnsi="Lato Medium"/>
        </w:rPr>
        <w:t xml:space="preserve"> fall below</w:t>
      </w:r>
      <w:r>
        <w:rPr>
          <w:rFonts w:ascii="Lato Medium" w:hAnsi="Lato Medium"/>
        </w:rPr>
        <w:t>.</w:t>
      </w:r>
    </w:p>
    <w:p w:rsidR="008C0D3D" w:rsidRPr="004473B8" w:rsidRDefault="008C0D3D">
      <w:pPr>
        <w:rPr>
          <w:rFonts w:ascii="Lato Medium" w:hAnsi="Lato Medium"/>
        </w:rPr>
      </w:pPr>
    </w:p>
    <w:p w:rsidR="008C0D3D" w:rsidRPr="004473B8" w:rsidRDefault="00AB1CF6">
      <w:pPr>
        <w:rPr>
          <w:rFonts w:ascii="Lato Medium" w:hAnsi="Lato Medium" w:cstheme="minorHAnsi"/>
          <w:b/>
          <w:u w:val="single"/>
        </w:rPr>
      </w:pPr>
      <w:r>
        <w:rPr>
          <w:rFonts w:ascii="Lato Medium" w:hAnsi="Lato Medium" w:cstheme="minorHAnsi"/>
          <w:b/>
          <w:u w:val="single"/>
        </w:rPr>
        <w:t>Priority for Educational Excellence</w:t>
      </w:r>
    </w:p>
    <w:p w:rsidR="008C0D3D" w:rsidRPr="004473B8" w:rsidRDefault="008C0D3D">
      <w:pPr>
        <w:rPr>
          <w:rFonts w:ascii="Lato Medium" w:hAnsi="Lato Medium" w:cstheme="minorHAnsi"/>
        </w:rPr>
      </w:pPr>
    </w:p>
    <w:p w:rsidR="008C0D3D" w:rsidRPr="004473B8" w:rsidRDefault="00AB1CF6">
      <w:pPr>
        <w:rPr>
          <w:rFonts w:ascii="Lato Medium" w:hAnsi="Lato Medium" w:cstheme="minorHAnsi"/>
          <w:b/>
          <w:i/>
        </w:rPr>
      </w:pPr>
      <w:r>
        <w:rPr>
          <w:rFonts w:ascii="Lato Medium" w:hAnsi="Lato Medium" w:cstheme="minorHAnsi"/>
          <w:b/>
          <w:i/>
        </w:rPr>
        <w:t>Strategy</w:t>
      </w:r>
      <w:r w:rsidR="006D6FA4">
        <w:rPr>
          <w:rFonts w:ascii="Lato Medium" w:hAnsi="Lato Medium" w:cstheme="minorHAnsi"/>
          <w:b/>
          <w:i/>
        </w:rPr>
        <w:t xml:space="preserve"> 1</w:t>
      </w:r>
      <w:r>
        <w:rPr>
          <w:rFonts w:ascii="Lato Medium" w:hAnsi="Lato Medium" w:cstheme="minorHAnsi"/>
          <w:b/>
          <w:i/>
        </w:rPr>
        <w:t>: Enhance student success by eliminating barriers that prevent students from achieving their educational and career goals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8C0D3D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  <w:r>
        <w:rPr>
          <w:rFonts w:ascii="Lato Medium" w:hAnsi="Lato Medium" w:cstheme="minorHAnsi"/>
        </w:rPr>
        <w:t>Action</w:t>
      </w:r>
      <w:r w:rsidR="006D6FA4">
        <w:rPr>
          <w:rFonts w:ascii="Lato Medium" w:hAnsi="Lato Medium" w:cstheme="minorHAnsi"/>
        </w:rPr>
        <w:t xml:space="preserve"> 1</w:t>
      </w:r>
      <w:r>
        <w:rPr>
          <w:rFonts w:ascii="Lato Medium" w:hAnsi="Lato Medium" w:cstheme="minorHAnsi"/>
        </w:rPr>
        <w:t>:  Identify primary barriers to student success and completion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  <w:r>
        <w:rPr>
          <w:rFonts w:ascii="Lato Medium" w:hAnsi="Lato Medium" w:cstheme="minorHAnsi"/>
        </w:rPr>
        <w:t>Action</w:t>
      </w:r>
      <w:r w:rsidR="006D6FA4">
        <w:rPr>
          <w:rFonts w:ascii="Lato Medium" w:hAnsi="Lato Medium" w:cstheme="minorHAnsi"/>
        </w:rPr>
        <w:t xml:space="preserve"> 2</w:t>
      </w:r>
      <w:r>
        <w:rPr>
          <w:rFonts w:ascii="Lato Medium" w:hAnsi="Lato Medium" w:cstheme="minorHAnsi"/>
        </w:rPr>
        <w:t>:  Focus efforts to eliminate top five learning/educational barriers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AB1CF6" w:rsidRP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  <w:b/>
          <w:i/>
        </w:rPr>
      </w:pPr>
      <w:r w:rsidRPr="00AB1CF6">
        <w:rPr>
          <w:rFonts w:ascii="Lato Medium" w:hAnsi="Lato Medium" w:cstheme="minorHAnsi"/>
          <w:b/>
          <w:i/>
        </w:rPr>
        <w:t>Strategy</w:t>
      </w:r>
      <w:r w:rsidR="006D6FA4">
        <w:rPr>
          <w:rFonts w:ascii="Lato Medium" w:hAnsi="Lato Medium" w:cstheme="minorHAnsi"/>
          <w:b/>
          <w:i/>
        </w:rPr>
        <w:t xml:space="preserve"> 2</w:t>
      </w:r>
      <w:r w:rsidRPr="00AB1CF6">
        <w:rPr>
          <w:rFonts w:ascii="Lato Medium" w:hAnsi="Lato Medium" w:cstheme="minorHAnsi"/>
          <w:b/>
          <w:i/>
        </w:rPr>
        <w:t>: Enrich curriculum to meet the needs of current career expectations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  <w:r>
        <w:rPr>
          <w:rFonts w:ascii="Lato Medium" w:hAnsi="Lato Medium" w:cstheme="minorHAnsi"/>
        </w:rPr>
        <w:t>Action</w:t>
      </w:r>
      <w:r w:rsidR="006D6FA4">
        <w:rPr>
          <w:rFonts w:ascii="Lato Medium" w:hAnsi="Lato Medium" w:cstheme="minorHAnsi"/>
        </w:rPr>
        <w:t xml:space="preserve"> 1</w:t>
      </w:r>
      <w:r>
        <w:rPr>
          <w:rFonts w:ascii="Lato Medium" w:hAnsi="Lato Medium" w:cstheme="minorHAnsi"/>
        </w:rPr>
        <w:t>:  Work with students throughout their college journey to build career literacy, develop professional skills, enhance financial literacy and empower personal development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  <w:r>
        <w:rPr>
          <w:rFonts w:ascii="Lato Medium" w:hAnsi="Lato Medium" w:cstheme="minorHAnsi"/>
        </w:rPr>
        <w:t>Action</w:t>
      </w:r>
      <w:r w:rsidR="006D6FA4">
        <w:rPr>
          <w:rFonts w:ascii="Lato Medium" w:hAnsi="Lato Medium" w:cstheme="minorHAnsi"/>
        </w:rPr>
        <w:t xml:space="preserve"> 2</w:t>
      </w:r>
      <w:r>
        <w:rPr>
          <w:rFonts w:ascii="Lato Medium" w:hAnsi="Lato Medium" w:cstheme="minorHAnsi"/>
        </w:rPr>
        <w:t>: Expand co-curricular learning opportunities</w:t>
      </w:r>
    </w:p>
    <w:p w:rsidR="00AB1CF6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</w:p>
    <w:p w:rsidR="00AB1CF6" w:rsidRPr="004473B8" w:rsidRDefault="00AB1CF6" w:rsidP="008C0D3D">
      <w:pPr>
        <w:autoSpaceDE w:val="0"/>
        <w:autoSpaceDN w:val="0"/>
        <w:adjustRightInd w:val="0"/>
        <w:rPr>
          <w:rFonts w:ascii="Lato Medium" w:hAnsi="Lato Medium" w:cstheme="minorHAnsi"/>
        </w:rPr>
      </w:pPr>
      <w:r>
        <w:rPr>
          <w:rFonts w:ascii="Lato Medium" w:hAnsi="Lato Medium" w:cstheme="minorHAnsi"/>
        </w:rPr>
        <w:t>Action</w:t>
      </w:r>
      <w:r w:rsidR="006D6FA4">
        <w:rPr>
          <w:rFonts w:ascii="Lato Medium" w:hAnsi="Lato Medium" w:cstheme="minorHAnsi"/>
        </w:rPr>
        <w:t xml:space="preserve"> 3</w:t>
      </w:r>
      <w:r>
        <w:rPr>
          <w:rFonts w:ascii="Lato Medium" w:hAnsi="Lato Medium" w:cstheme="minorHAnsi"/>
        </w:rPr>
        <w:t>:  Utilize up-to-date technological resources needed for students to transfer seamlessly into their post-graduate success</w:t>
      </w:r>
    </w:p>
    <w:p w:rsidR="008C0D3D" w:rsidRPr="004473B8" w:rsidRDefault="008C0D3D">
      <w:pPr>
        <w:rPr>
          <w:rFonts w:ascii="Lato Medium" w:hAnsi="Lato Medium" w:cstheme="minorHAnsi"/>
        </w:rPr>
      </w:pPr>
    </w:p>
    <w:p w:rsidR="008C0D3D" w:rsidRDefault="008C0D3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A1104" w:rsidRPr="004473B8" w:rsidRDefault="006A1104" w:rsidP="006A1104">
      <w:pPr>
        <w:rPr>
          <w:rFonts w:ascii="Lato Medium" w:hAnsi="Lato Medium"/>
          <w:b/>
          <w:u w:val="single"/>
        </w:rPr>
      </w:pPr>
      <w:r w:rsidRPr="004473B8">
        <w:rPr>
          <w:rFonts w:ascii="Lato Medium" w:hAnsi="Lato Medium"/>
          <w:b/>
          <w:u w:val="single"/>
        </w:rPr>
        <w:lastRenderedPageBreak/>
        <w:t>Completion</w:t>
      </w:r>
    </w:p>
    <w:p w:rsidR="006A1104" w:rsidRPr="004473B8" w:rsidRDefault="006A1104" w:rsidP="006A1104">
      <w:pPr>
        <w:rPr>
          <w:rFonts w:ascii="Lato Medium" w:hAnsi="Lato Medium"/>
          <w:i/>
        </w:rPr>
      </w:pPr>
      <w:r w:rsidRPr="004473B8">
        <w:rPr>
          <w:rFonts w:ascii="Lato Medium" w:hAnsi="Lato Medium"/>
          <w:i/>
        </w:rPr>
        <w:t>Increase six-year completion rate (as measured by the National Student Clearinghouse Overall Total Completion Rate)</w:t>
      </w:r>
    </w:p>
    <w:p w:rsidR="006A1104" w:rsidRPr="004473B8" w:rsidRDefault="00D739DC" w:rsidP="006A1104">
      <w:pPr>
        <w:rPr>
          <w:rFonts w:ascii="Lato Medium" w:hAnsi="Lato Medium"/>
        </w:rPr>
      </w:pPr>
      <w:r>
        <w:rPr>
          <w:rFonts w:ascii="Lato Medium" w:hAnsi="Lato Medium"/>
        </w:rPr>
        <w:t>Target:  41</w:t>
      </w:r>
      <w:r w:rsidR="006A1104" w:rsidRPr="004473B8">
        <w:rPr>
          <w:rFonts w:ascii="Lato Medium" w:hAnsi="Lato Medium"/>
        </w:rPr>
        <w:t>%</w:t>
      </w:r>
    </w:p>
    <w:p w:rsidR="005D415F" w:rsidRPr="004473B8" w:rsidRDefault="005D415F" w:rsidP="006A110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Minimum Threshold: </w:t>
      </w:r>
      <w:r w:rsidR="00D739DC">
        <w:rPr>
          <w:rFonts w:ascii="Lato Medium" w:hAnsi="Lato Medium"/>
        </w:rPr>
        <w:t>36</w:t>
      </w:r>
      <w:r w:rsidRPr="004473B8">
        <w:rPr>
          <w:rFonts w:ascii="Lato Medium" w:hAnsi="Lato Medium"/>
        </w:rPr>
        <w:t>%</w:t>
      </w:r>
    </w:p>
    <w:p w:rsidR="006A1104" w:rsidRPr="004473B8" w:rsidRDefault="006A1104" w:rsidP="006A110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 </w:t>
      </w:r>
      <w:r w:rsidR="006D6FA4">
        <w:rPr>
          <w:rFonts w:ascii="Lato Medium" w:hAnsi="Lato Medium"/>
        </w:rPr>
        <w:t>Priority for Educational Excellence, Strategy 1, Actions 1 and 2</w:t>
      </w:r>
    </w:p>
    <w:p w:rsidR="006A1104" w:rsidRDefault="006A1104" w:rsidP="006A1104"/>
    <w:p w:rsidR="006A1104" w:rsidRDefault="00E7741C" w:rsidP="006A1104">
      <w:r>
        <w:rPr>
          <w:noProof/>
        </w:rPr>
        <w:drawing>
          <wp:inline distT="0" distB="0" distL="0" distR="0" wp14:anchorId="4F30A6EA" wp14:editId="094B106F">
            <wp:extent cx="6858000" cy="4011295"/>
            <wp:effectExtent l="0" t="0" r="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2298" w:rsidRDefault="008B2298" w:rsidP="006A1104"/>
    <w:p w:rsidR="006A1104" w:rsidRDefault="006A1104" w:rsidP="006A1104"/>
    <w:p w:rsidR="00D739DC" w:rsidRDefault="00D739DC">
      <w:r>
        <w:br w:type="page"/>
      </w:r>
    </w:p>
    <w:p w:rsidR="00D739DC" w:rsidRPr="00D739DC" w:rsidRDefault="00D739DC" w:rsidP="00D739DC">
      <w:pPr>
        <w:jc w:val="center"/>
        <w:rPr>
          <w:rFonts w:ascii="Lato Medium" w:hAnsi="Lato Medium"/>
          <w:sz w:val="28"/>
        </w:rPr>
      </w:pPr>
      <w:r w:rsidRPr="00D739DC">
        <w:rPr>
          <w:rFonts w:ascii="Lato Medium" w:hAnsi="Lato Medium"/>
          <w:sz w:val="28"/>
        </w:rPr>
        <w:lastRenderedPageBreak/>
        <w:t>Disaggregate</w:t>
      </w:r>
      <w:r w:rsidR="00E04382">
        <w:rPr>
          <w:rFonts w:ascii="Lato Medium" w:hAnsi="Lato Medium"/>
          <w:sz w:val="28"/>
        </w:rPr>
        <w:t>d</w:t>
      </w:r>
      <w:r w:rsidRPr="00D739DC">
        <w:rPr>
          <w:rFonts w:ascii="Lato Medium" w:hAnsi="Lato Medium"/>
          <w:sz w:val="28"/>
        </w:rPr>
        <w:t xml:space="preserve"> Completion Data</w:t>
      </w:r>
    </w:p>
    <w:p w:rsidR="00D739DC" w:rsidRDefault="00D739DC">
      <w:pPr>
        <w:rPr>
          <w:rFonts w:ascii="Lato Medium" w:hAnsi="Lato Medium"/>
        </w:rPr>
      </w:pPr>
    </w:p>
    <w:p w:rsidR="00D739DC" w:rsidRPr="002D7606" w:rsidRDefault="00D739DC">
      <w:pPr>
        <w:rPr>
          <w:rFonts w:ascii="Lato Medium" w:hAnsi="Lato Medium"/>
          <w:b/>
          <w:i/>
          <w:sz w:val="24"/>
        </w:rPr>
      </w:pPr>
      <w:r w:rsidRPr="002D7606">
        <w:rPr>
          <w:rFonts w:ascii="Lato Medium" w:hAnsi="Lato Medium"/>
          <w:b/>
          <w:i/>
          <w:sz w:val="24"/>
        </w:rPr>
        <w:t xml:space="preserve">Six Year </w:t>
      </w:r>
      <w:r w:rsidR="000A30F8">
        <w:rPr>
          <w:rFonts w:ascii="Lato Medium" w:hAnsi="Lato Medium"/>
          <w:b/>
          <w:i/>
          <w:sz w:val="24"/>
        </w:rPr>
        <w:t xml:space="preserve">Completion Rates </w:t>
      </w:r>
      <w:r w:rsidRPr="002D7606">
        <w:rPr>
          <w:rFonts w:ascii="Lato Medium" w:hAnsi="Lato Medium"/>
          <w:b/>
          <w:i/>
          <w:sz w:val="24"/>
        </w:rPr>
        <w:t>by Gender</w:t>
      </w:r>
    </w:p>
    <w:p w:rsidR="00D739DC" w:rsidRDefault="00D739DC">
      <w:pPr>
        <w:rPr>
          <w:rFonts w:ascii="Lato Medium" w:hAnsi="Lato Medium"/>
        </w:rPr>
      </w:pPr>
    </w:p>
    <w:tbl>
      <w:tblPr>
        <w:tblW w:w="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33"/>
        <w:gridCol w:w="1350"/>
      </w:tblGrid>
      <w:tr w:rsidR="00D739DC" w:rsidRPr="00D739DC" w:rsidTr="00D739DC">
        <w:trPr>
          <w:trHeight w:val="288"/>
        </w:trPr>
        <w:tc>
          <w:tcPr>
            <w:tcW w:w="832" w:type="dxa"/>
            <w:shd w:val="clear" w:color="auto" w:fill="000000" w:themeFill="text1"/>
            <w:noWrap/>
            <w:vAlign w:val="bottom"/>
            <w:hideMark/>
          </w:tcPr>
          <w:p w:rsidR="00D739DC" w:rsidRPr="00D739DC" w:rsidRDefault="00D739DC" w:rsidP="00D739DC">
            <w:pPr>
              <w:rPr>
                <w:rFonts w:ascii="Calibri" w:eastAsia="Times New Roman" w:hAnsi="Calibri" w:cs="Calibri"/>
                <w:b/>
                <w:color w:val="FFCD00"/>
              </w:rPr>
            </w:pPr>
            <w:r w:rsidRPr="00D739DC">
              <w:rPr>
                <w:rFonts w:ascii="Calibri" w:eastAsia="Times New Roman" w:hAnsi="Calibri" w:cs="Calibri"/>
                <w:b/>
                <w:color w:val="FFCD00"/>
              </w:rPr>
              <w:t>Cohort</w:t>
            </w:r>
          </w:p>
        </w:tc>
        <w:tc>
          <w:tcPr>
            <w:tcW w:w="1233" w:type="dxa"/>
            <w:shd w:val="clear" w:color="auto" w:fill="000000" w:themeFill="text1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b/>
                <w:color w:val="FFCD00"/>
              </w:rPr>
            </w:pPr>
            <w:r w:rsidRPr="00D739DC">
              <w:rPr>
                <w:rFonts w:ascii="Calibri" w:eastAsia="Times New Roman" w:hAnsi="Calibri" w:cs="Calibri"/>
                <w:b/>
                <w:color w:val="FFCD00"/>
              </w:rPr>
              <w:t>TJC Men</w:t>
            </w:r>
          </w:p>
        </w:tc>
        <w:tc>
          <w:tcPr>
            <w:tcW w:w="1350" w:type="dxa"/>
            <w:shd w:val="clear" w:color="auto" w:fill="000000" w:themeFill="text1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b/>
                <w:color w:val="FFCD00"/>
              </w:rPr>
            </w:pPr>
            <w:r w:rsidRPr="00D739DC">
              <w:rPr>
                <w:rFonts w:ascii="Calibri" w:eastAsia="Times New Roman" w:hAnsi="Calibri" w:cs="Calibri"/>
                <w:b/>
                <w:color w:val="FFCD00"/>
              </w:rPr>
              <w:t>TJC Women</w:t>
            </w:r>
          </w:p>
        </w:tc>
      </w:tr>
      <w:tr w:rsidR="00D739DC" w:rsidRPr="00D739DC" w:rsidTr="00D739DC">
        <w:trPr>
          <w:trHeight w:val="288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34.81%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41.73%</w:t>
            </w:r>
          </w:p>
        </w:tc>
      </w:tr>
      <w:tr w:rsidR="00D739DC" w:rsidRPr="00D739DC" w:rsidTr="00D739DC">
        <w:trPr>
          <w:trHeight w:val="288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38.51%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45.33%</w:t>
            </w:r>
          </w:p>
        </w:tc>
      </w:tr>
      <w:tr w:rsidR="00D739DC" w:rsidRPr="00D739DC" w:rsidTr="00D739DC">
        <w:trPr>
          <w:trHeight w:val="288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33.01%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40.36%</w:t>
            </w:r>
          </w:p>
        </w:tc>
      </w:tr>
      <w:tr w:rsidR="00D739DC" w:rsidRPr="00D739DC" w:rsidTr="00D739DC">
        <w:trPr>
          <w:trHeight w:val="288"/>
        </w:trPr>
        <w:tc>
          <w:tcPr>
            <w:tcW w:w="832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35.53%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D739DC" w:rsidRPr="00D739DC" w:rsidRDefault="00D739D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42.44%</w:t>
            </w:r>
          </w:p>
        </w:tc>
      </w:tr>
      <w:tr w:rsidR="00E7741C" w:rsidRPr="00D739DC" w:rsidTr="00D739DC">
        <w:trPr>
          <w:trHeight w:val="288"/>
        </w:trPr>
        <w:tc>
          <w:tcPr>
            <w:tcW w:w="832" w:type="dxa"/>
            <w:shd w:val="clear" w:color="auto" w:fill="auto"/>
            <w:noWrap/>
            <w:vAlign w:val="bottom"/>
          </w:tcPr>
          <w:p w:rsidR="00E7741C" w:rsidRPr="00D739DC" w:rsidRDefault="00E7741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E7741C" w:rsidRPr="00D739DC" w:rsidRDefault="00E7741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35.06%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7741C" w:rsidRPr="00D739DC" w:rsidRDefault="00E7741C" w:rsidP="00D739DC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42.14%</w:t>
            </w:r>
          </w:p>
        </w:tc>
      </w:tr>
    </w:tbl>
    <w:p w:rsidR="00D739DC" w:rsidRDefault="00D739DC">
      <w:pPr>
        <w:rPr>
          <w:rFonts w:ascii="Lato Medium" w:hAnsi="Lato Medium"/>
          <w:i/>
        </w:rPr>
      </w:pPr>
    </w:p>
    <w:p w:rsidR="00D739DC" w:rsidRDefault="00E7741C">
      <w:pPr>
        <w:rPr>
          <w:rFonts w:ascii="Lato Medium" w:hAnsi="Lato Medium"/>
          <w:i/>
        </w:rPr>
      </w:pPr>
      <w:r>
        <w:rPr>
          <w:noProof/>
        </w:rPr>
        <w:drawing>
          <wp:inline distT="0" distB="0" distL="0" distR="0" wp14:anchorId="5B6EE6D5" wp14:editId="68094861">
            <wp:extent cx="6156960" cy="3566160"/>
            <wp:effectExtent l="0" t="0" r="15240" b="1524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39DC" w:rsidRDefault="00D739DC">
      <w:pPr>
        <w:rPr>
          <w:rFonts w:ascii="Lato Medium" w:hAnsi="Lato Medium"/>
        </w:rPr>
      </w:pPr>
    </w:p>
    <w:p w:rsidR="00D739DC" w:rsidRDefault="00D739DC">
      <w:pPr>
        <w:rPr>
          <w:rFonts w:ascii="Lato Medium" w:hAnsi="Lato Medium"/>
        </w:rPr>
      </w:pPr>
    </w:p>
    <w:p w:rsidR="00D739DC" w:rsidRDefault="00D739DC">
      <w:pPr>
        <w:rPr>
          <w:rFonts w:ascii="Lato Medium" w:hAnsi="Lato Medium"/>
        </w:rPr>
      </w:pPr>
      <w:r>
        <w:rPr>
          <w:rFonts w:ascii="Lato Medium" w:hAnsi="Lato Medium"/>
        </w:rPr>
        <w:br w:type="page"/>
      </w:r>
    </w:p>
    <w:p w:rsidR="000A30F8" w:rsidRPr="002D7606" w:rsidRDefault="000A30F8" w:rsidP="000A30F8">
      <w:pPr>
        <w:rPr>
          <w:rFonts w:ascii="Lato Medium" w:hAnsi="Lato Medium"/>
          <w:b/>
          <w:i/>
          <w:sz w:val="24"/>
        </w:rPr>
      </w:pPr>
      <w:r w:rsidRPr="002D7606">
        <w:rPr>
          <w:rFonts w:ascii="Lato Medium" w:hAnsi="Lato Medium"/>
          <w:b/>
          <w:i/>
          <w:sz w:val="24"/>
        </w:rPr>
        <w:t xml:space="preserve">Six Year </w:t>
      </w:r>
      <w:r>
        <w:rPr>
          <w:rFonts w:ascii="Lato Medium" w:hAnsi="Lato Medium"/>
          <w:b/>
          <w:i/>
          <w:sz w:val="24"/>
        </w:rPr>
        <w:t>Completion Rates</w:t>
      </w:r>
      <w:r w:rsidRPr="002D7606">
        <w:rPr>
          <w:rFonts w:ascii="Lato Medium" w:hAnsi="Lato Medium"/>
          <w:b/>
          <w:i/>
          <w:sz w:val="24"/>
        </w:rPr>
        <w:t xml:space="preserve"> by </w:t>
      </w:r>
      <w:r>
        <w:rPr>
          <w:rFonts w:ascii="Lato Medium" w:hAnsi="Lato Medium"/>
          <w:b/>
          <w:i/>
          <w:sz w:val="24"/>
        </w:rPr>
        <w:t>Enrollment Intensity</w:t>
      </w:r>
    </w:p>
    <w:p w:rsidR="00D739DC" w:rsidRDefault="00D739DC">
      <w:pPr>
        <w:rPr>
          <w:rFonts w:ascii="Lato Medium" w:hAnsi="Lato Medium"/>
        </w:rPr>
      </w:pPr>
    </w:p>
    <w:tbl>
      <w:tblPr>
        <w:tblW w:w="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33"/>
        <w:gridCol w:w="1350"/>
        <w:gridCol w:w="1350"/>
      </w:tblGrid>
      <w:tr w:rsidR="000A30F8" w:rsidRPr="00D739DC" w:rsidTr="00CB7F49">
        <w:trPr>
          <w:trHeight w:val="288"/>
        </w:trPr>
        <w:tc>
          <w:tcPr>
            <w:tcW w:w="842" w:type="dxa"/>
            <w:shd w:val="clear" w:color="auto" w:fill="000000" w:themeFill="text1"/>
            <w:noWrap/>
            <w:vAlign w:val="bottom"/>
            <w:hideMark/>
          </w:tcPr>
          <w:p w:rsidR="000A30F8" w:rsidRPr="00D739DC" w:rsidRDefault="000A30F8" w:rsidP="00CB7F49">
            <w:pPr>
              <w:rPr>
                <w:rFonts w:ascii="Calibri" w:eastAsia="Times New Roman" w:hAnsi="Calibri" w:cs="Calibri"/>
                <w:b/>
                <w:color w:val="FFCD00"/>
              </w:rPr>
            </w:pPr>
            <w:r w:rsidRPr="00D739DC">
              <w:rPr>
                <w:rFonts w:ascii="Calibri" w:eastAsia="Times New Roman" w:hAnsi="Calibri" w:cs="Calibri"/>
                <w:b/>
                <w:color w:val="FFCD00"/>
              </w:rPr>
              <w:t>Cohort</w:t>
            </w:r>
          </w:p>
        </w:tc>
        <w:tc>
          <w:tcPr>
            <w:tcW w:w="1233" w:type="dxa"/>
            <w:shd w:val="clear" w:color="auto" w:fill="000000" w:themeFill="text1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b/>
                <w:color w:val="FFCD00"/>
              </w:rPr>
            </w:pPr>
            <w:r>
              <w:rPr>
                <w:rFonts w:ascii="Calibri" w:eastAsia="Times New Roman" w:hAnsi="Calibri" w:cs="Calibri"/>
                <w:b/>
                <w:color w:val="FFCD00"/>
              </w:rPr>
              <w:t>Exclusively Full-Time</w:t>
            </w:r>
          </w:p>
        </w:tc>
        <w:tc>
          <w:tcPr>
            <w:tcW w:w="1350" w:type="dxa"/>
            <w:shd w:val="clear" w:color="auto" w:fill="000000" w:themeFill="text1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b/>
                <w:color w:val="FFCD00"/>
              </w:rPr>
            </w:pPr>
            <w:r>
              <w:rPr>
                <w:rFonts w:ascii="Calibri" w:eastAsia="Times New Roman" w:hAnsi="Calibri" w:cs="Calibri"/>
                <w:b/>
                <w:color w:val="FFCD00"/>
              </w:rPr>
              <w:t>Exclusively Part-Time</w:t>
            </w:r>
          </w:p>
        </w:tc>
        <w:tc>
          <w:tcPr>
            <w:tcW w:w="1350" w:type="dxa"/>
            <w:shd w:val="clear" w:color="auto" w:fill="000000" w:themeFill="text1"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b/>
                <w:color w:val="FFCD00"/>
              </w:rPr>
            </w:pPr>
            <w:r>
              <w:rPr>
                <w:rFonts w:ascii="Calibri" w:eastAsia="Times New Roman" w:hAnsi="Calibri" w:cs="Calibri"/>
                <w:b/>
                <w:color w:val="FFCD00"/>
              </w:rPr>
              <w:t>Mixed Enrollment</w:t>
            </w:r>
          </w:p>
        </w:tc>
      </w:tr>
      <w:tr w:rsidR="000A30F8" w:rsidRPr="00D739DC" w:rsidTr="00CB7F49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2009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40.25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22.32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36.93%</w:t>
            </w:r>
          </w:p>
        </w:tc>
      </w:tr>
      <w:tr w:rsidR="000A30F8" w:rsidRPr="00D739DC" w:rsidTr="00CB7F49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2010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41.92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29.07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40.93%</w:t>
            </w:r>
          </w:p>
        </w:tc>
      </w:tr>
      <w:tr w:rsidR="000A30F8" w:rsidRPr="00D739DC" w:rsidTr="00CB7F49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43.97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25.58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29.14%</w:t>
            </w:r>
          </w:p>
        </w:tc>
      </w:tr>
      <w:tr w:rsidR="000A30F8" w:rsidRPr="00D739DC" w:rsidTr="00CB7F49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739DC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48.73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35.60</w:t>
            </w:r>
            <w:r w:rsidRPr="00D739D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350" w:type="dxa"/>
          </w:tcPr>
          <w:p w:rsidR="000A30F8" w:rsidRPr="00D739DC" w:rsidRDefault="000A30F8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28.79%</w:t>
            </w:r>
          </w:p>
        </w:tc>
      </w:tr>
      <w:tr w:rsidR="00E7741C" w:rsidRPr="00D739DC" w:rsidTr="00CB7F49">
        <w:trPr>
          <w:trHeight w:val="288"/>
        </w:trPr>
        <w:tc>
          <w:tcPr>
            <w:tcW w:w="842" w:type="dxa"/>
            <w:shd w:val="clear" w:color="auto" w:fill="auto"/>
            <w:noWrap/>
            <w:vAlign w:val="bottom"/>
          </w:tcPr>
          <w:p w:rsidR="00E7741C" w:rsidRPr="00D739DC" w:rsidRDefault="00E7741C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E7741C" w:rsidRDefault="00E7741C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48.70%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E7741C" w:rsidRDefault="00E7741C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25.28%</w:t>
            </w:r>
          </w:p>
        </w:tc>
        <w:tc>
          <w:tcPr>
            <w:tcW w:w="1350" w:type="dxa"/>
          </w:tcPr>
          <w:p w:rsidR="00E7741C" w:rsidRDefault="00E7741C" w:rsidP="00CB7F4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31.46%</w:t>
            </w:r>
          </w:p>
        </w:tc>
      </w:tr>
    </w:tbl>
    <w:p w:rsidR="00D739DC" w:rsidRDefault="00D739DC">
      <w:pPr>
        <w:rPr>
          <w:rFonts w:ascii="Lato Medium" w:hAnsi="Lato Medium"/>
        </w:rPr>
      </w:pPr>
    </w:p>
    <w:p w:rsidR="00D739DC" w:rsidRDefault="00D739DC">
      <w:pPr>
        <w:rPr>
          <w:rFonts w:ascii="Lato Medium" w:hAnsi="Lato Medium"/>
        </w:rPr>
      </w:pPr>
    </w:p>
    <w:p w:rsidR="00D739DC" w:rsidRDefault="00D739DC">
      <w:pPr>
        <w:rPr>
          <w:rFonts w:ascii="Lato Medium" w:hAnsi="Lato Medium"/>
        </w:rPr>
      </w:pPr>
    </w:p>
    <w:p w:rsidR="00D739DC" w:rsidRDefault="00E7741C">
      <w:pPr>
        <w:rPr>
          <w:rFonts w:ascii="Lato Medium" w:hAnsi="Lato Medium"/>
        </w:rPr>
      </w:pPr>
      <w:r>
        <w:rPr>
          <w:noProof/>
        </w:rPr>
        <w:drawing>
          <wp:inline distT="0" distB="0" distL="0" distR="0" wp14:anchorId="3F79B25C" wp14:editId="64D0164E">
            <wp:extent cx="6743700" cy="3779520"/>
            <wp:effectExtent l="0" t="0" r="0" b="1143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739DC">
        <w:rPr>
          <w:rFonts w:ascii="Lato Medium" w:hAnsi="Lato Medium"/>
        </w:rPr>
        <w:br w:type="page"/>
      </w:r>
    </w:p>
    <w:p w:rsidR="002D7606" w:rsidRPr="002D7606" w:rsidRDefault="002D7606">
      <w:pPr>
        <w:rPr>
          <w:rFonts w:ascii="Lato Medium" w:hAnsi="Lato Medium"/>
          <w:b/>
          <w:i/>
          <w:sz w:val="24"/>
        </w:rPr>
      </w:pPr>
      <w:r w:rsidRPr="002D7606">
        <w:rPr>
          <w:rFonts w:ascii="Lato Medium" w:hAnsi="Lato Medium"/>
          <w:b/>
          <w:i/>
          <w:sz w:val="24"/>
        </w:rPr>
        <w:t xml:space="preserve">Six Year </w:t>
      </w:r>
      <w:r w:rsidR="000A30F8">
        <w:rPr>
          <w:rFonts w:ascii="Lato Medium" w:hAnsi="Lato Medium"/>
          <w:b/>
          <w:i/>
          <w:sz w:val="24"/>
        </w:rPr>
        <w:t>Completion</w:t>
      </w:r>
      <w:r w:rsidRPr="002D7606">
        <w:rPr>
          <w:rFonts w:ascii="Lato Medium" w:hAnsi="Lato Medium"/>
          <w:b/>
          <w:i/>
          <w:sz w:val="24"/>
        </w:rPr>
        <w:t xml:space="preserve"> by Race/Ethnicity</w:t>
      </w:r>
    </w:p>
    <w:p w:rsidR="002D7606" w:rsidRDefault="002D7606">
      <w:pPr>
        <w:rPr>
          <w:rFonts w:ascii="Lato Medium" w:hAnsi="Lato Medium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50"/>
        <w:gridCol w:w="1440"/>
        <w:gridCol w:w="1260"/>
        <w:gridCol w:w="1260"/>
      </w:tblGrid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000000" w:themeFill="text1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Times New Roman"/>
                <w:b/>
                <w:color w:val="FFCD00"/>
              </w:rPr>
            </w:pPr>
            <w:r w:rsidRPr="00D739DC">
              <w:rPr>
                <w:rFonts w:ascii="Lato Medium" w:eastAsia="Times New Roman" w:hAnsi="Lato Medium" w:cs="Times New Roman"/>
                <w:b/>
                <w:color w:val="FFCD00"/>
              </w:rPr>
              <w:t>Ethnicity</w:t>
            </w:r>
          </w:p>
        </w:tc>
        <w:tc>
          <w:tcPr>
            <w:tcW w:w="1350" w:type="dxa"/>
            <w:shd w:val="clear" w:color="auto" w:fill="000000" w:themeFill="text1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 w:rsidRPr="00D739DC">
              <w:rPr>
                <w:rFonts w:ascii="Lato Medium" w:eastAsia="Times New Roman" w:hAnsi="Lato Medium" w:cs="Calibri"/>
                <w:b/>
                <w:color w:val="FFCD00"/>
              </w:rPr>
              <w:t>2010</w:t>
            </w:r>
          </w:p>
        </w:tc>
        <w:tc>
          <w:tcPr>
            <w:tcW w:w="1440" w:type="dxa"/>
            <w:shd w:val="clear" w:color="auto" w:fill="000000" w:themeFill="text1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 w:rsidRPr="00D739DC">
              <w:rPr>
                <w:rFonts w:ascii="Lato Medium" w:eastAsia="Times New Roman" w:hAnsi="Lato Medium" w:cs="Calibri"/>
                <w:b/>
                <w:color w:val="FFCD00"/>
              </w:rPr>
              <w:t>2011</w:t>
            </w:r>
          </w:p>
        </w:tc>
        <w:tc>
          <w:tcPr>
            <w:tcW w:w="1260" w:type="dxa"/>
            <w:shd w:val="clear" w:color="auto" w:fill="000000" w:themeFill="text1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 w:rsidRPr="00D739DC">
              <w:rPr>
                <w:rFonts w:ascii="Lato Medium" w:eastAsia="Times New Roman" w:hAnsi="Lato Medium" w:cs="Calibri"/>
                <w:b/>
                <w:color w:val="FFCD00"/>
              </w:rPr>
              <w:t>2012</w:t>
            </w:r>
          </w:p>
        </w:tc>
        <w:tc>
          <w:tcPr>
            <w:tcW w:w="1260" w:type="dxa"/>
            <w:shd w:val="clear" w:color="auto" w:fill="000000" w:themeFill="text1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2013</w:t>
            </w:r>
          </w:p>
        </w:tc>
      </w:tr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Asian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32.00%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36.00%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48.51%</w:t>
            </w:r>
          </w:p>
        </w:tc>
        <w:tc>
          <w:tcPr>
            <w:tcW w:w="1260" w:type="dxa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33.64%</w:t>
            </w:r>
          </w:p>
        </w:tc>
      </w:tr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Black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11.28%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22.14%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25.89%</w:t>
            </w:r>
          </w:p>
        </w:tc>
        <w:tc>
          <w:tcPr>
            <w:tcW w:w="1260" w:type="dxa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24.90%</w:t>
            </w:r>
          </w:p>
        </w:tc>
      </w:tr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Hispanic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33.19%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42.42%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38.64%</w:t>
            </w:r>
          </w:p>
        </w:tc>
        <w:tc>
          <w:tcPr>
            <w:tcW w:w="1260" w:type="dxa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43.19%</w:t>
            </w:r>
          </w:p>
        </w:tc>
      </w:tr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White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26.74%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42.82%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46.79%</w:t>
            </w:r>
          </w:p>
        </w:tc>
        <w:tc>
          <w:tcPr>
            <w:tcW w:w="1260" w:type="dxa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47.09%</w:t>
            </w:r>
          </w:p>
        </w:tc>
      </w:tr>
      <w:tr w:rsidR="00E431EA" w:rsidRPr="00D739DC" w:rsidTr="00E431EA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Other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25.31%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52.05%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 w:rsidRPr="00D739DC">
              <w:rPr>
                <w:rFonts w:ascii="Lato Medium" w:eastAsia="Times New Roman" w:hAnsi="Lato Medium" w:cs="Calibri"/>
                <w:color w:val="000000"/>
              </w:rPr>
              <w:t>50.41%</w:t>
            </w:r>
          </w:p>
        </w:tc>
        <w:tc>
          <w:tcPr>
            <w:tcW w:w="1260" w:type="dxa"/>
          </w:tcPr>
          <w:p w:rsidR="00E431EA" w:rsidRPr="00D739DC" w:rsidRDefault="00E431EA" w:rsidP="00D739DC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54.52%</w:t>
            </w:r>
          </w:p>
        </w:tc>
      </w:tr>
    </w:tbl>
    <w:p w:rsidR="00D739DC" w:rsidRDefault="00D739DC">
      <w:pPr>
        <w:rPr>
          <w:rFonts w:ascii="Lato Medium" w:hAnsi="Lato Medium"/>
        </w:rPr>
      </w:pPr>
    </w:p>
    <w:p w:rsidR="00D739DC" w:rsidRDefault="00D739DC">
      <w:pPr>
        <w:rPr>
          <w:rFonts w:ascii="Lato Medium" w:hAnsi="Lato Medium"/>
        </w:rPr>
      </w:pPr>
    </w:p>
    <w:p w:rsidR="005D415F" w:rsidRPr="00D739DC" w:rsidRDefault="00E431EA">
      <w:pPr>
        <w:rPr>
          <w:rFonts w:ascii="Lato Medium" w:hAnsi="Lato Medium"/>
          <w:i/>
        </w:rPr>
      </w:pPr>
      <w:r>
        <w:rPr>
          <w:noProof/>
        </w:rPr>
        <w:drawing>
          <wp:inline distT="0" distB="0" distL="0" distR="0" wp14:anchorId="3ED717DE" wp14:editId="3EF1F217">
            <wp:extent cx="6903720" cy="4030980"/>
            <wp:effectExtent l="0" t="0" r="11430" b="762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D415F" w:rsidRPr="00D739DC">
        <w:rPr>
          <w:rFonts w:ascii="Lato Medium" w:hAnsi="Lato Medium"/>
          <w:i/>
        </w:rPr>
        <w:br w:type="page"/>
      </w:r>
    </w:p>
    <w:p w:rsidR="00E04382" w:rsidRPr="00E04382" w:rsidRDefault="00E04382" w:rsidP="006A1104">
      <w:pPr>
        <w:rPr>
          <w:rFonts w:ascii="Lato Medium" w:hAnsi="Lato Medium"/>
          <w:b/>
          <w:i/>
        </w:rPr>
      </w:pPr>
      <w:r w:rsidRPr="00E04382">
        <w:rPr>
          <w:rFonts w:ascii="Lato Medium" w:hAnsi="Lato Medium"/>
          <w:b/>
          <w:i/>
        </w:rPr>
        <w:t>Number of Awards</w:t>
      </w:r>
    </w:p>
    <w:p w:rsidR="00E04382" w:rsidRDefault="00E04382" w:rsidP="006A1104">
      <w:pPr>
        <w:rPr>
          <w:rFonts w:ascii="Lato Medium" w:hAnsi="Lato Medium"/>
          <w:i/>
        </w:rPr>
      </w:pPr>
    </w:p>
    <w:p w:rsidR="008B6B91" w:rsidRPr="004473B8" w:rsidRDefault="006A1104" w:rsidP="006A1104">
      <w:pPr>
        <w:rPr>
          <w:rFonts w:ascii="Lato Medium" w:hAnsi="Lato Medium"/>
          <w:i/>
        </w:rPr>
      </w:pPr>
      <w:r w:rsidRPr="004473B8">
        <w:rPr>
          <w:rFonts w:ascii="Lato Medium" w:hAnsi="Lato Medium"/>
          <w:i/>
        </w:rPr>
        <w:t xml:space="preserve">Increase the number of </w:t>
      </w:r>
      <w:r w:rsidR="008B6B91" w:rsidRPr="004473B8">
        <w:rPr>
          <w:rFonts w:ascii="Lato Medium" w:hAnsi="Lato Medium"/>
          <w:i/>
        </w:rPr>
        <w:t>awards (</w:t>
      </w:r>
      <w:r w:rsidRPr="004473B8">
        <w:rPr>
          <w:rFonts w:ascii="Lato Medium" w:hAnsi="Lato Medium"/>
          <w:i/>
        </w:rPr>
        <w:t>degrees and certificates</w:t>
      </w:r>
      <w:r w:rsidR="008B6B91" w:rsidRPr="004473B8">
        <w:rPr>
          <w:rFonts w:ascii="Lato Medium" w:hAnsi="Lato Medium"/>
          <w:i/>
        </w:rPr>
        <w:t>)</w:t>
      </w:r>
      <w:r w:rsidRPr="004473B8">
        <w:rPr>
          <w:rFonts w:ascii="Lato Medium" w:hAnsi="Lato Medium"/>
          <w:i/>
        </w:rPr>
        <w:t xml:space="preserve"> </w:t>
      </w:r>
      <w:r w:rsidR="008B6B91" w:rsidRPr="004473B8">
        <w:rPr>
          <w:rFonts w:ascii="Lato Medium" w:hAnsi="Lato Medium"/>
          <w:i/>
        </w:rPr>
        <w:t>as measured by State of Texas data repository</w:t>
      </w:r>
    </w:p>
    <w:p w:rsidR="006A1104" w:rsidRPr="004473B8" w:rsidRDefault="006A1104" w:rsidP="006A110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Target:  </w:t>
      </w:r>
      <w:r w:rsidR="005D415F" w:rsidRPr="004473B8">
        <w:rPr>
          <w:rFonts w:ascii="Lato Medium" w:hAnsi="Lato Medium"/>
        </w:rPr>
        <w:t>2</w:t>
      </w:r>
      <w:r w:rsidR="00E04382">
        <w:rPr>
          <w:rFonts w:ascii="Lato Medium" w:hAnsi="Lato Medium"/>
        </w:rPr>
        <w:t>,524</w:t>
      </w:r>
    </w:p>
    <w:p w:rsidR="005D415F" w:rsidRPr="004473B8" w:rsidRDefault="005D415F" w:rsidP="005D415F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Minimum Threshold: </w:t>
      </w:r>
      <w:r w:rsidR="00D739DC">
        <w:rPr>
          <w:rFonts w:ascii="Lato Medium" w:hAnsi="Lato Medium"/>
        </w:rPr>
        <w:t>2</w:t>
      </w:r>
      <w:r w:rsidR="00E04382">
        <w:rPr>
          <w:rFonts w:ascii="Lato Medium" w:hAnsi="Lato Medium"/>
        </w:rPr>
        <w:t>,017</w:t>
      </w:r>
    </w:p>
    <w:p w:rsidR="00003793" w:rsidRDefault="00003793" w:rsidP="00003793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 </w:t>
      </w:r>
      <w:r w:rsidR="006D6FA4">
        <w:rPr>
          <w:rFonts w:ascii="Lato Medium" w:hAnsi="Lato Medium"/>
        </w:rPr>
        <w:t>Priority for Educational Excellence, Strategy 1, Actions 1 and 2; Strategy 2, Actions 1, 2, and 3</w:t>
      </w:r>
    </w:p>
    <w:p w:rsidR="00F07517" w:rsidRDefault="00F07517" w:rsidP="00003793">
      <w:pPr>
        <w:rPr>
          <w:rFonts w:ascii="Lato Medium" w:hAnsi="Lato Medium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50"/>
        <w:gridCol w:w="1440"/>
        <w:gridCol w:w="1260"/>
        <w:gridCol w:w="1260"/>
      </w:tblGrid>
      <w:tr w:rsidR="00B3558D" w:rsidRPr="00D739DC" w:rsidTr="00B3558D">
        <w:trPr>
          <w:trHeight w:val="288"/>
        </w:trPr>
        <w:tc>
          <w:tcPr>
            <w:tcW w:w="117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rPr>
                <w:rFonts w:ascii="Lato Medium" w:eastAsia="Times New Roman" w:hAnsi="Lato Medium" w:cs="Times New Roman"/>
                <w:b/>
                <w:color w:val="FFCD00"/>
              </w:rPr>
            </w:pPr>
            <w:r>
              <w:rPr>
                <w:rFonts w:ascii="Lato Medium" w:eastAsia="Times New Roman" w:hAnsi="Lato Medium" w:cs="Times New Roman"/>
                <w:b/>
                <w:color w:val="FFCD00"/>
              </w:rPr>
              <w:t>2015</w:t>
            </w:r>
          </w:p>
        </w:tc>
        <w:tc>
          <w:tcPr>
            <w:tcW w:w="135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2016</w:t>
            </w:r>
          </w:p>
        </w:tc>
        <w:tc>
          <w:tcPr>
            <w:tcW w:w="144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2017</w:t>
            </w:r>
          </w:p>
        </w:tc>
        <w:tc>
          <w:tcPr>
            <w:tcW w:w="126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2018</w:t>
            </w:r>
          </w:p>
        </w:tc>
        <w:tc>
          <w:tcPr>
            <w:tcW w:w="1260" w:type="dxa"/>
            <w:shd w:val="clear" w:color="auto" w:fill="000000" w:themeFill="text1"/>
          </w:tcPr>
          <w:p w:rsidR="00B3558D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2019</w:t>
            </w:r>
          </w:p>
        </w:tc>
      </w:tr>
      <w:tr w:rsidR="00B3558D" w:rsidRPr="00D739DC" w:rsidTr="00B3558D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1B0265">
            <w:pPr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2,117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1,850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1,994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2,108</w:t>
            </w:r>
          </w:p>
        </w:tc>
        <w:tc>
          <w:tcPr>
            <w:tcW w:w="1260" w:type="dxa"/>
          </w:tcPr>
          <w:p w:rsidR="00B3558D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2,403</w:t>
            </w:r>
          </w:p>
        </w:tc>
      </w:tr>
    </w:tbl>
    <w:p w:rsidR="00F07517" w:rsidRPr="004473B8" w:rsidRDefault="00F07517" w:rsidP="00003793">
      <w:pPr>
        <w:rPr>
          <w:rFonts w:ascii="Lato Medium" w:hAnsi="Lato Medium"/>
        </w:rPr>
      </w:pPr>
    </w:p>
    <w:p w:rsidR="006A1104" w:rsidRDefault="006A1104" w:rsidP="006A1104"/>
    <w:p w:rsidR="00F07517" w:rsidRDefault="00B3558D" w:rsidP="006A1104">
      <w:r>
        <w:rPr>
          <w:noProof/>
        </w:rPr>
        <w:drawing>
          <wp:inline distT="0" distB="0" distL="0" distR="0" wp14:anchorId="3F396579" wp14:editId="6A9DFED1">
            <wp:extent cx="6370320" cy="3451860"/>
            <wp:effectExtent l="0" t="0" r="1143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517" w:rsidRDefault="00F07517">
      <w:r>
        <w:br w:type="page"/>
      </w:r>
    </w:p>
    <w:p w:rsidR="008B6B91" w:rsidRPr="00F07517" w:rsidRDefault="00F07517" w:rsidP="006A1104">
      <w:pPr>
        <w:rPr>
          <w:rFonts w:ascii="Lato Medium" w:hAnsi="Lato Medium"/>
          <w:b/>
          <w:i/>
        </w:rPr>
      </w:pPr>
      <w:r w:rsidRPr="00E04382">
        <w:rPr>
          <w:rFonts w:ascii="Lato Medium" w:hAnsi="Lato Medium"/>
          <w:b/>
          <w:i/>
        </w:rPr>
        <w:t>Number of Awards</w:t>
      </w:r>
      <w:r>
        <w:rPr>
          <w:rFonts w:ascii="Lato Medium" w:hAnsi="Lato Medium"/>
          <w:b/>
          <w:i/>
        </w:rPr>
        <w:t xml:space="preserve"> (Economically Disadvantaged)</w:t>
      </w:r>
    </w:p>
    <w:p w:rsidR="008B6B91" w:rsidRDefault="008B6B91" w:rsidP="006A1104"/>
    <w:p w:rsidR="00A33FA8" w:rsidRPr="004473B8" w:rsidRDefault="00A33FA8" w:rsidP="00A33FA8">
      <w:pPr>
        <w:rPr>
          <w:rFonts w:ascii="Lato Medium" w:hAnsi="Lato Medium"/>
          <w:i/>
        </w:rPr>
      </w:pPr>
      <w:r w:rsidRPr="004473B8">
        <w:rPr>
          <w:rFonts w:ascii="Lato Medium" w:hAnsi="Lato Medium"/>
          <w:i/>
        </w:rPr>
        <w:t xml:space="preserve">Increase the number of </w:t>
      </w:r>
      <w:r w:rsidR="007D0853">
        <w:rPr>
          <w:rFonts w:ascii="Lato Medium" w:hAnsi="Lato Medium"/>
          <w:i/>
        </w:rPr>
        <w:t>e</w:t>
      </w:r>
      <w:r w:rsidR="007D0853" w:rsidRPr="007D0853">
        <w:rPr>
          <w:rFonts w:ascii="Lato Medium" w:hAnsi="Lato Medium"/>
          <w:i/>
        </w:rPr>
        <w:t>conomically disadvantaged undergraduates receiving a</w:t>
      </w:r>
      <w:r w:rsidR="007D0853">
        <w:rPr>
          <w:rFonts w:ascii="Lato Medium" w:hAnsi="Lato Medium"/>
          <w:i/>
        </w:rPr>
        <w:t>n award</w:t>
      </w:r>
      <w:r w:rsidRPr="004473B8">
        <w:rPr>
          <w:rFonts w:ascii="Lato Medium" w:hAnsi="Lato Medium"/>
          <w:i/>
        </w:rPr>
        <w:t xml:space="preserve"> as measured by State of Texas data repository</w:t>
      </w:r>
    </w:p>
    <w:p w:rsidR="00A33FA8" w:rsidRPr="004473B8" w:rsidRDefault="00A33FA8" w:rsidP="00A33FA8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Target:  </w:t>
      </w:r>
      <w:r w:rsidR="007D0853">
        <w:rPr>
          <w:rFonts w:ascii="Lato Medium" w:hAnsi="Lato Medium"/>
        </w:rPr>
        <w:t>1,146</w:t>
      </w:r>
    </w:p>
    <w:p w:rsidR="00A33FA8" w:rsidRPr="004473B8" w:rsidRDefault="00A33FA8" w:rsidP="00A33FA8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Minimum Threshold: </w:t>
      </w:r>
      <w:r w:rsidR="007D0853">
        <w:rPr>
          <w:rFonts w:ascii="Lato Medium" w:hAnsi="Lato Medium"/>
        </w:rPr>
        <w:t>1,013</w:t>
      </w:r>
      <w:r w:rsidRPr="004473B8">
        <w:rPr>
          <w:rFonts w:ascii="Lato Medium" w:hAnsi="Lato Medium"/>
        </w:rPr>
        <w:t xml:space="preserve"> awards</w:t>
      </w:r>
    </w:p>
    <w:p w:rsidR="00A33FA8" w:rsidRDefault="00A33FA8" w:rsidP="00A33FA8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 </w:t>
      </w:r>
      <w:r>
        <w:rPr>
          <w:rFonts w:ascii="Lato Medium" w:hAnsi="Lato Medium"/>
        </w:rPr>
        <w:t>Priority for Educational Excellence, Strategy 1, Actions 1 and 2; Strategy 2, Actions 1, 2, and 3</w:t>
      </w:r>
    </w:p>
    <w:p w:rsidR="00FD2212" w:rsidRPr="004473B8" w:rsidRDefault="00FD2212" w:rsidP="00A33FA8">
      <w:pPr>
        <w:rPr>
          <w:rFonts w:ascii="Lato Medium" w:hAnsi="Lato Medium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50"/>
        <w:gridCol w:w="1440"/>
        <w:gridCol w:w="1260"/>
        <w:gridCol w:w="1260"/>
      </w:tblGrid>
      <w:tr w:rsidR="00B3558D" w:rsidRPr="00D739DC" w:rsidTr="00B3558D">
        <w:trPr>
          <w:trHeight w:val="288"/>
        </w:trPr>
        <w:tc>
          <w:tcPr>
            <w:tcW w:w="117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rPr>
                <w:rFonts w:ascii="Lato Medium" w:eastAsia="Times New Roman" w:hAnsi="Lato Medium" w:cs="Times New Roman"/>
                <w:b/>
                <w:color w:val="FFCD00"/>
              </w:rPr>
            </w:pPr>
            <w:r>
              <w:rPr>
                <w:rFonts w:ascii="Lato Medium" w:eastAsia="Times New Roman" w:hAnsi="Lato Medium" w:cs="Times New Roman"/>
                <w:b/>
                <w:color w:val="FFCD00"/>
              </w:rPr>
              <w:t>2015</w:t>
            </w:r>
          </w:p>
        </w:tc>
        <w:tc>
          <w:tcPr>
            <w:tcW w:w="135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2016</w:t>
            </w:r>
          </w:p>
        </w:tc>
        <w:tc>
          <w:tcPr>
            <w:tcW w:w="144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2017</w:t>
            </w:r>
          </w:p>
        </w:tc>
        <w:tc>
          <w:tcPr>
            <w:tcW w:w="1260" w:type="dxa"/>
            <w:shd w:val="clear" w:color="auto" w:fill="000000" w:themeFill="text1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2018</w:t>
            </w:r>
          </w:p>
        </w:tc>
        <w:tc>
          <w:tcPr>
            <w:tcW w:w="1260" w:type="dxa"/>
            <w:shd w:val="clear" w:color="auto" w:fill="000000" w:themeFill="text1"/>
          </w:tcPr>
          <w:p w:rsidR="00B3558D" w:rsidRDefault="00B3558D" w:rsidP="00CB7F49">
            <w:pPr>
              <w:jc w:val="right"/>
              <w:rPr>
                <w:rFonts w:ascii="Lato Medium" w:eastAsia="Times New Roman" w:hAnsi="Lato Medium" w:cs="Calibri"/>
                <w:b/>
                <w:color w:val="FFCD00"/>
              </w:rPr>
            </w:pPr>
            <w:r>
              <w:rPr>
                <w:rFonts w:ascii="Lato Medium" w:eastAsia="Times New Roman" w:hAnsi="Lato Medium" w:cs="Calibri"/>
                <w:b/>
                <w:color w:val="FFCD00"/>
              </w:rPr>
              <w:t>2019</w:t>
            </w:r>
          </w:p>
        </w:tc>
      </w:tr>
      <w:tr w:rsidR="00B3558D" w:rsidRPr="00D739DC" w:rsidTr="00B3558D">
        <w:trPr>
          <w:trHeight w:val="288"/>
        </w:trPr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1,026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913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987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B3558D" w:rsidRPr="00D739DC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1,124</w:t>
            </w:r>
          </w:p>
        </w:tc>
        <w:tc>
          <w:tcPr>
            <w:tcW w:w="1260" w:type="dxa"/>
          </w:tcPr>
          <w:p w:rsidR="00B3558D" w:rsidRDefault="00B3558D" w:rsidP="00CB7F49">
            <w:pPr>
              <w:jc w:val="right"/>
              <w:rPr>
                <w:rFonts w:ascii="Lato Medium" w:eastAsia="Times New Roman" w:hAnsi="Lato Medium" w:cs="Calibri"/>
                <w:color w:val="000000"/>
              </w:rPr>
            </w:pPr>
            <w:r>
              <w:rPr>
                <w:rFonts w:ascii="Lato Medium" w:eastAsia="Times New Roman" w:hAnsi="Lato Medium" w:cs="Calibri"/>
                <w:color w:val="000000"/>
              </w:rPr>
              <w:t>1177</w:t>
            </w:r>
          </w:p>
        </w:tc>
      </w:tr>
    </w:tbl>
    <w:p w:rsidR="00F07517" w:rsidRDefault="00F07517" w:rsidP="00A33FA8">
      <w:r>
        <w:t xml:space="preserve"> </w:t>
      </w:r>
    </w:p>
    <w:p w:rsidR="006A1104" w:rsidRDefault="00B3558D" w:rsidP="006A1104">
      <w:r>
        <w:rPr>
          <w:noProof/>
        </w:rPr>
        <w:drawing>
          <wp:inline distT="0" distB="0" distL="0" distR="0" wp14:anchorId="63884678" wp14:editId="0F086660">
            <wp:extent cx="6377940" cy="4625340"/>
            <wp:effectExtent l="0" t="0" r="3810" b="381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517" w:rsidRDefault="00F07517">
      <w:pPr>
        <w:rPr>
          <w:rFonts w:ascii="Lato Medium" w:hAnsi="Lato Medium"/>
          <w:b/>
          <w:u w:val="single"/>
        </w:rPr>
      </w:pPr>
      <w:r>
        <w:rPr>
          <w:rFonts w:ascii="Lato Medium" w:hAnsi="Lato Medium"/>
          <w:b/>
          <w:u w:val="single"/>
        </w:rPr>
        <w:br w:type="page"/>
      </w:r>
      <w:bookmarkStart w:id="0" w:name="_GoBack"/>
      <w:bookmarkEnd w:id="0"/>
    </w:p>
    <w:p w:rsidR="004179B3" w:rsidRPr="004473B8" w:rsidRDefault="00003793">
      <w:pPr>
        <w:rPr>
          <w:rFonts w:ascii="Lato Medium" w:hAnsi="Lato Medium"/>
          <w:b/>
          <w:u w:val="single"/>
        </w:rPr>
      </w:pPr>
      <w:r w:rsidRPr="004473B8">
        <w:rPr>
          <w:rFonts w:ascii="Lato Medium" w:hAnsi="Lato Medium"/>
          <w:b/>
          <w:u w:val="single"/>
        </w:rPr>
        <w:t>Persistence Rates</w:t>
      </w:r>
    </w:p>
    <w:p w:rsidR="00003793" w:rsidRPr="004473B8" w:rsidRDefault="002D7606">
      <w:pPr>
        <w:rPr>
          <w:rFonts w:ascii="Lato Medium" w:hAnsi="Lato Medium"/>
          <w:i/>
        </w:rPr>
      </w:pPr>
      <w:r>
        <w:rPr>
          <w:rFonts w:ascii="Lato Medium" w:hAnsi="Lato Medium"/>
          <w:i/>
        </w:rPr>
        <w:t>Increase the o</w:t>
      </w:r>
      <w:r w:rsidR="00003793" w:rsidRPr="004473B8">
        <w:rPr>
          <w:rFonts w:ascii="Lato Medium" w:hAnsi="Lato Medium"/>
          <w:i/>
        </w:rPr>
        <w:t xml:space="preserve">ne-year persistence rates for first-time, degree-seeking undergraduates enrolled in at least 12 semester credit hours in the fall. </w:t>
      </w:r>
    </w:p>
    <w:p w:rsidR="00003793" w:rsidRPr="004473B8" w:rsidRDefault="00003793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Target:  </w:t>
      </w:r>
      <w:r w:rsidR="0092585B">
        <w:rPr>
          <w:rFonts w:ascii="Lato Medium" w:hAnsi="Lato Medium"/>
        </w:rPr>
        <w:t>7</w:t>
      </w:r>
      <w:r w:rsidR="002D7606">
        <w:rPr>
          <w:rFonts w:ascii="Lato Medium" w:hAnsi="Lato Medium"/>
        </w:rPr>
        <w:t>3</w:t>
      </w:r>
      <w:r w:rsidR="002D7606" w:rsidRPr="002D7606">
        <w:rPr>
          <w:noProof/>
        </w:rPr>
        <w:t xml:space="preserve"> </w:t>
      </w:r>
      <w:r w:rsidR="00155C5D" w:rsidRPr="004473B8">
        <w:rPr>
          <w:rFonts w:ascii="Lato Medium" w:hAnsi="Lato Medium"/>
        </w:rPr>
        <w:t>%</w:t>
      </w:r>
    </w:p>
    <w:p w:rsidR="00003793" w:rsidRPr="004473B8" w:rsidRDefault="00003793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Minimum Threshold: </w:t>
      </w:r>
      <w:r w:rsidR="0092585B">
        <w:rPr>
          <w:rFonts w:ascii="Lato Medium" w:hAnsi="Lato Medium"/>
        </w:rPr>
        <w:t>63</w:t>
      </w:r>
      <w:r w:rsidR="00155C5D" w:rsidRPr="004473B8">
        <w:rPr>
          <w:rFonts w:ascii="Lato Medium" w:hAnsi="Lato Medium"/>
        </w:rPr>
        <w:t>%</w:t>
      </w:r>
    </w:p>
    <w:p w:rsidR="006D6FA4" w:rsidRDefault="00003793" w:rsidP="006D6FA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</w:t>
      </w:r>
      <w:r w:rsidR="006D6FA4">
        <w:rPr>
          <w:rFonts w:ascii="Lato Medium" w:hAnsi="Lato Medium"/>
        </w:rPr>
        <w:t>Priority for Educational Excellence, Strategy 1, Actions 1 and 2; Strategy 2, Actions 1, 2, and 3</w:t>
      </w:r>
    </w:p>
    <w:p w:rsidR="00B13C66" w:rsidRDefault="00B13C66" w:rsidP="006D6FA4">
      <w:pPr>
        <w:rPr>
          <w:rFonts w:ascii="Lato Medium" w:hAnsi="Lato Medium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819"/>
        <w:gridCol w:w="920"/>
        <w:gridCol w:w="920"/>
        <w:gridCol w:w="920"/>
        <w:gridCol w:w="920"/>
      </w:tblGrid>
      <w:tr w:rsidR="00B3558D" w:rsidRPr="00DF635F" w:rsidTr="00B3558D">
        <w:trPr>
          <w:trHeight w:val="300"/>
        </w:trPr>
        <w:tc>
          <w:tcPr>
            <w:tcW w:w="3651" w:type="dxa"/>
            <w:shd w:val="clear" w:color="auto" w:fill="000000" w:themeFill="text1"/>
            <w:noWrap/>
            <w:vAlign w:val="bottom"/>
            <w:hideMark/>
          </w:tcPr>
          <w:p w:rsidR="00B3558D" w:rsidRPr="00DF635F" w:rsidRDefault="00B3558D" w:rsidP="00DF635F">
            <w:pPr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One-Year Persistence Rates</w:t>
            </w:r>
          </w:p>
        </w:tc>
        <w:tc>
          <w:tcPr>
            <w:tcW w:w="819" w:type="dxa"/>
            <w:shd w:val="clear" w:color="auto" w:fill="000000" w:themeFill="text1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2015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2016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2017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2018</w:t>
            </w:r>
          </w:p>
        </w:tc>
        <w:tc>
          <w:tcPr>
            <w:tcW w:w="920" w:type="dxa"/>
            <w:shd w:val="clear" w:color="auto" w:fill="000000" w:themeFill="text1"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>
              <w:rPr>
                <w:rFonts w:ascii="Lato" w:eastAsia="Times New Roman" w:hAnsi="Lato" w:cs="Times New Roman"/>
                <w:b/>
                <w:color w:val="FFCD00"/>
              </w:rPr>
              <w:t>2019</w:t>
            </w:r>
          </w:p>
        </w:tc>
      </w:tr>
      <w:tr w:rsidR="00B3558D" w:rsidRPr="00DF635F" w:rsidTr="00B3558D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Tyler Junior College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65.0%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63.2%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63.3%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65.0%</w:t>
            </w:r>
          </w:p>
        </w:tc>
        <w:tc>
          <w:tcPr>
            <w:tcW w:w="920" w:type="dxa"/>
          </w:tcPr>
          <w:p w:rsidR="00B3558D" w:rsidRPr="00DF635F" w:rsidRDefault="00FF3744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65.4%</w:t>
            </w:r>
          </w:p>
        </w:tc>
      </w:tr>
      <w:tr w:rsidR="00B3558D" w:rsidRPr="00DF635F" w:rsidTr="00B3558D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Large Group Community Colleges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67.0%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66.4%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66.4%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65.6%</w:t>
            </w:r>
          </w:p>
        </w:tc>
        <w:tc>
          <w:tcPr>
            <w:tcW w:w="920" w:type="dxa"/>
          </w:tcPr>
          <w:p w:rsidR="00B3558D" w:rsidRPr="00DF635F" w:rsidRDefault="00FF3744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67.0%</w:t>
            </w:r>
          </w:p>
        </w:tc>
      </w:tr>
      <w:tr w:rsidR="00B3558D" w:rsidRPr="00DF635F" w:rsidTr="00B3558D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State of Texas</w:t>
            </w:r>
          </w:p>
        </w:tc>
        <w:tc>
          <w:tcPr>
            <w:tcW w:w="819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66.9%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68.4%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68.2%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3558D" w:rsidRPr="00DF635F" w:rsidRDefault="00B3558D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67.7%</w:t>
            </w:r>
          </w:p>
        </w:tc>
        <w:tc>
          <w:tcPr>
            <w:tcW w:w="920" w:type="dxa"/>
          </w:tcPr>
          <w:p w:rsidR="00B3558D" w:rsidRPr="00DF635F" w:rsidRDefault="00FF3744" w:rsidP="00DF635F">
            <w:pPr>
              <w:jc w:val="right"/>
              <w:rPr>
                <w:rFonts w:ascii="Lato" w:eastAsia="Times New Roman" w:hAnsi="Lato" w:cs="Times New Roman"/>
                <w:color w:val="000000"/>
              </w:rPr>
            </w:pPr>
            <w:r>
              <w:rPr>
                <w:rFonts w:ascii="Lato" w:eastAsia="Times New Roman" w:hAnsi="Lato" w:cs="Times New Roman"/>
                <w:color w:val="000000"/>
              </w:rPr>
              <w:t>68.3%</w:t>
            </w:r>
          </w:p>
        </w:tc>
      </w:tr>
    </w:tbl>
    <w:p w:rsidR="00B13C66" w:rsidRPr="004473B8" w:rsidRDefault="00B13C66" w:rsidP="006D6FA4">
      <w:pPr>
        <w:rPr>
          <w:rFonts w:ascii="Lato Medium" w:hAnsi="Lato Medium"/>
        </w:rPr>
      </w:pPr>
    </w:p>
    <w:p w:rsidR="00003793" w:rsidRPr="004473B8" w:rsidRDefault="00FF3744" w:rsidP="00003793">
      <w:pPr>
        <w:rPr>
          <w:rFonts w:ascii="Lato Medium" w:hAnsi="Lato Medium"/>
        </w:rPr>
      </w:pPr>
      <w:r w:rsidRPr="00FF37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BFC5" wp14:editId="4244A6C2">
                <wp:simplePos x="0" y="0"/>
                <wp:positionH relativeFrom="column">
                  <wp:posOffset>320040</wp:posOffset>
                </wp:positionH>
                <wp:positionV relativeFrom="paragraph">
                  <wp:posOffset>627380</wp:posOffset>
                </wp:positionV>
                <wp:extent cx="556260" cy="259080"/>
                <wp:effectExtent l="0" t="0" r="0" b="0"/>
                <wp:wrapNone/>
                <wp:docPr id="1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590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744" w:rsidRDefault="00FF3744" w:rsidP="00FF374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Target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36B7BFC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.2pt;margin-top:49.4pt;width:43.8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HxCwIAAF4EAAAOAAAAZHJzL2Uyb0RvYy54bWysVMFu2zAMvQ/YPwi6L04zJGiDOAXWorsM&#10;67C2H6DIUmxMEjVJjZ19/Z7kxB26U4ddZJt8pPgeSW+uB2vYQYXYkav5xWzOmXKSms7ta/70ePfh&#10;krOYhGuEIadqflSRX2/fv9v0fq0W1JJpVGBI4uK69zVvU/LrqoqyVVbEGXnl4NQUrEj4DPuqCaJH&#10;dmuqxXy+qnoKjQ8kVYyw3o5Ovi35tVYy3WsdVWKm5qgtlTOUc5fParsR630Qvu3kqQzxD1VY0Tlc&#10;OqW6FUmw59D9lcp2MlAknWaSbEVad1IVDmBzMX/F5qEVXhUuECf6Sab4/9LKr4dvgXUNerfkzAmL&#10;Hj2qIX2igX3M6vQ+rgF68IClAWYgz/YIYyY96GDzE3QY/ND5OGmLXEzCuFyuFit4JFyL5dX8smhf&#10;vQT7ENNnRZbll5oHtK4oKg5fYkIhgJ4h+S5Hd50xpX3Gsb7mV8sFGEjrwSW6fYmdQAg2Djkym7Hq&#10;8paORuVkxn1XGiqU4rMhyrDf3ZjAxlHBLKP088CUZAjIQI0i3hh7CsnRqkzoG+OnoHI/uTTF285R&#10;KMTL/qhM4CAw+c2P0jMUrkf8WYpRgKxFGnbDqd07ao7oNrY63ePQhiCvNJ3nrKXw67Wtx/ZA8p/P&#10;IijOQjI3NC6bcBL4mqc8L0V6DHFp5Gnh8pb8+V1QL7+F7W8AAAD//wMAUEsDBBQABgAIAAAAIQCw&#10;OpYw3AAAAAkBAAAPAAAAZHJzL2Rvd25yZXYueG1sTI/BTsMwEETvSP0Haytxo3ahrZIQp6pAXEEU&#10;qNSbG2+TiHgdxW4T/p7NCW47mtHsvHw7ulZcsQ+NJw3LhQKBVHrbUKXh8+PlLgERoiFrWk+o4QcD&#10;bIvZTW4y6wd6x+s+VoJLKGRGQx1jl0kZyhqdCQvfIbF39r0zkWVfSdubgctdK++V2khnGuIPtenw&#10;qcbye39xGr5ez8fDSr1Vz27dDX5Uklwqtb6dj7tHEBHH+BeGaT5Ph4I3nfyFbBCthrVacVJDmjDB&#10;5D8kzHaajnQDssjlf4LiFwAA//8DAFBLAQItABQABgAIAAAAIQC2gziS/gAAAOEBAAATAAAAAAAA&#10;AAAAAAAAAAAAAABbQ29udGVudF9UeXBlc10ueG1sUEsBAi0AFAAGAAgAAAAhADj9If/WAAAAlAEA&#10;AAsAAAAAAAAAAAAAAAAALwEAAF9yZWxzLy5yZWxzUEsBAi0AFAAGAAgAAAAhAG6tofELAgAAXgQA&#10;AA4AAAAAAAAAAAAAAAAALgIAAGRycy9lMm9Eb2MueG1sUEsBAi0AFAAGAAgAAAAhALA6ljDcAAAA&#10;CQEAAA8AAAAAAAAAAAAAAAAAZQQAAGRycy9kb3ducmV2LnhtbFBLBQYAAAAABAAEAPMAAABuBQAA&#10;AAA=&#10;" filled="f" stroked="f">
                <v:textbox>
                  <w:txbxContent>
                    <w:p w:rsidR="00FF3744" w:rsidRDefault="00FF3744" w:rsidP="00FF374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000000" w:themeColor="dark1"/>
                          <w:sz w:val="16"/>
                          <w:szCs w:val="16"/>
                        </w:rPr>
                        <w:t>Target</w:t>
                      </w:r>
                    </w:p>
                  </w:txbxContent>
                </v:textbox>
              </v:shape>
            </w:pict>
          </mc:Fallback>
        </mc:AlternateContent>
      </w:r>
      <w:r w:rsidRPr="00FF3744">
        <w:rPr>
          <w:noProof/>
        </w:rPr>
        <w:drawing>
          <wp:inline distT="0" distB="0" distL="0" distR="0" wp14:anchorId="2E2EBC86" wp14:editId="52031BDF">
            <wp:extent cx="6858000" cy="4709795"/>
            <wp:effectExtent l="0" t="0" r="0" b="1460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3793" w:rsidRDefault="00003793"/>
    <w:p w:rsidR="00003793" w:rsidRDefault="00003793"/>
    <w:p w:rsidR="00003793" w:rsidRDefault="00003793"/>
    <w:p w:rsidR="00155C5D" w:rsidRDefault="00155C5D">
      <w:pPr>
        <w:rPr>
          <w:i/>
        </w:rPr>
      </w:pPr>
      <w:r>
        <w:rPr>
          <w:i/>
        </w:rPr>
        <w:br w:type="page"/>
      </w:r>
    </w:p>
    <w:p w:rsidR="00E04382" w:rsidRPr="004473B8" w:rsidRDefault="00E04382" w:rsidP="00E04382">
      <w:pPr>
        <w:rPr>
          <w:rFonts w:ascii="Lato Medium" w:hAnsi="Lato Medium"/>
          <w:b/>
          <w:u w:val="single"/>
        </w:rPr>
      </w:pPr>
      <w:r w:rsidRPr="004473B8">
        <w:rPr>
          <w:rFonts w:ascii="Lato Medium" w:hAnsi="Lato Medium"/>
          <w:b/>
          <w:u w:val="single"/>
        </w:rPr>
        <w:t>Persistence Rates</w:t>
      </w:r>
    </w:p>
    <w:p w:rsidR="00003793" w:rsidRPr="004473B8" w:rsidRDefault="002D7606" w:rsidP="00003793">
      <w:pPr>
        <w:rPr>
          <w:rFonts w:ascii="Lato Medium" w:hAnsi="Lato Medium"/>
          <w:i/>
        </w:rPr>
      </w:pPr>
      <w:r>
        <w:rPr>
          <w:rFonts w:ascii="Lato Medium" w:hAnsi="Lato Medium"/>
          <w:i/>
        </w:rPr>
        <w:t>Increase the t</w:t>
      </w:r>
      <w:r w:rsidR="00003793" w:rsidRPr="004473B8">
        <w:rPr>
          <w:rFonts w:ascii="Lato Medium" w:hAnsi="Lato Medium"/>
          <w:i/>
        </w:rPr>
        <w:t xml:space="preserve">wo-year persistence rates for first-time, degree-seeking undergraduates enrolled in at least 12 semester credit hours in the fall. </w:t>
      </w:r>
    </w:p>
    <w:p w:rsidR="00003793" w:rsidRPr="004473B8" w:rsidRDefault="00003793" w:rsidP="00003793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Target:  </w:t>
      </w:r>
      <w:r w:rsidR="0092585B">
        <w:rPr>
          <w:rFonts w:ascii="Lato Medium" w:hAnsi="Lato Medium"/>
        </w:rPr>
        <w:t>59</w:t>
      </w:r>
      <w:r w:rsidR="005A4558" w:rsidRPr="004473B8">
        <w:rPr>
          <w:rFonts w:ascii="Lato Medium" w:hAnsi="Lato Medium"/>
        </w:rPr>
        <w:t>%</w:t>
      </w:r>
    </w:p>
    <w:p w:rsidR="00003793" w:rsidRPr="004473B8" w:rsidRDefault="00003793" w:rsidP="00003793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Minimum Threshold: </w:t>
      </w:r>
      <w:r w:rsidR="005A4558" w:rsidRPr="004473B8">
        <w:rPr>
          <w:rFonts w:ascii="Lato Medium" w:hAnsi="Lato Medium"/>
        </w:rPr>
        <w:t xml:space="preserve"> </w:t>
      </w:r>
      <w:r w:rsidR="0092585B">
        <w:rPr>
          <w:rFonts w:ascii="Lato Medium" w:hAnsi="Lato Medium"/>
        </w:rPr>
        <w:t>49</w:t>
      </w:r>
      <w:r w:rsidR="005A4558" w:rsidRPr="004473B8">
        <w:rPr>
          <w:rFonts w:ascii="Lato Medium" w:hAnsi="Lato Medium"/>
        </w:rPr>
        <w:t>%</w:t>
      </w:r>
    </w:p>
    <w:p w:rsidR="006D6FA4" w:rsidRPr="004473B8" w:rsidRDefault="00003793" w:rsidP="006D6FA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</w:t>
      </w:r>
      <w:r w:rsidR="006D6FA4">
        <w:rPr>
          <w:rFonts w:ascii="Lato Medium" w:hAnsi="Lato Medium"/>
        </w:rPr>
        <w:t>Priority for Educational Excellence, Strategy 1, Actions 1 and 2; Strategy 2, Actions 1, 2, and 3</w:t>
      </w:r>
    </w:p>
    <w:p w:rsidR="00003793" w:rsidRDefault="00003793" w:rsidP="00003793">
      <w:pPr>
        <w:rPr>
          <w:rFonts w:ascii="Lato Medium" w:hAnsi="Lato Medium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819"/>
        <w:gridCol w:w="920"/>
        <w:gridCol w:w="920"/>
        <w:gridCol w:w="920"/>
        <w:gridCol w:w="920"/>
      </w:tblGrid>
      <w:tr w:rsidR="00FF3744" w:rsidRPr="00DF635F" w:rsidTr="00FF3744">
        <w:trPr>
          <w:trHeight w:val="300"/>
        </w:trPr>
        <w:tc>
          <w:tcPr>
            <w:tcW w:w="3651" w:type="dxa"/>
            <w:shd w:val="clear" w:color="auto" w:fill="000000" w:themeFill="text1"/>
            <w:noWrap/>
            <w:vAlign w:val="bottom"/>
            <w:hideMark/>
          </w:tcPr>
          <w:p w:rsidR="00FF3744" w:rsidRPr="00DF635F" w:rsidRDefault="00FF3744" w:rsidP="00CB7F49">
            <w:pPr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One-Year Persistence Rates</w:t>
            </w:r>
          </w:p>
        </w:tc>
        <w:tc>
          <w:tcPr>
            <w:tcW w:w="819" w:type="dxa"/>
            <w:shd w:val="clear" w:color="auto" w:fill="000000" w:themeFill="text1"/>
            <w:noWrap/>
            <w:vAlign w:val="bottom"/>
            <w:hideMark/>
          </w:tcPr>
          <w:p w:rsidR="00FF3744" w:rsidRPr="00DF635F" w:rsidRDefault="00FF3744" w:rsidP="00CB7F49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2015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FF3744" w:rsidRPr="00DF635F" w:rsidRDefault="00FF3744" w:rsidP="00CB7F49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2016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FF3744" w:rsidRPr="00DF635F" w:rsidRDefault="00FF3744" w:rsidP="00CB7F49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2017</w:t>
            </w:r>
          </w:p>
        </w:tc>
        <w:tc>
          <w:tcPr>
            <w:tcW w:w="920" w:type="dxa"/>
            <w:shd w:val="clear" w:color="auto" w:fill="000000" w:themeFill="text1"/>
            <w:noWrap/>
            <w:vAlign w:val="bottom"/>
            <w:hideMark/>
          </w:tcPr>
          <w:p w:rsidR="00FF3744" w:rsidRPr="00DF635F" w:rsidRDefault="00FF3744" w:rsidP="00CB7F49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 w:rsidRPr="00DF635F">
              <w:rPr>
                <w:rFonts w:ascii="Lato" w:eastAsia="Times New Roman" w:hAnsi="Lato" w:cs="Times New Roman"/>
                <w:b/>
                <w:color w:val="FFCD00"/>
              </w:rPr>
              <w:t>2018</w:t>
            </w:r>
          </w:p>
        </w:tc>
        <w:tc>
          <w:tcPr>
            <w:tcW w:w="920" w:type="dxa"/>
            <w:shd w:val="clear" w:color="auto" w:fill="000000" w:themeFill="text1"/>
          </w:tcPr>
          <w:p w:rsidR="00FF3744" w:rsidRPr="00DF635F" w:rsidRDefault="00FF3744" w:rsidP="00CB7F49">
            <w:pPr>
              <w:jc w:val="right"/>
              <w:rPr>
                <w:rFonts w:ascii="Lato" w:eastAsia="Times New Roman" w:hAnsi="Lato" w:cs="Times New Roman"/>
                <w:b/>
                <w:color w:val="FFCD00"/>
              </w:rPr>
            </w:pPr>
            <w:r>
              <w:rPr>
                <w:rFonts w:ascii="Lato" w:eastAsia="Times New Roman" w:hAnsi="Lato" w:cs="Times New Roman"/>
                <w:b/>
                <w:color w:val="FFCD00"/>
              </w:rPr>
              <w:t>2019</w:t>
            </w:r>
          </w:p>
        </w:tc>
      </w:tr>
      <w:tr w:rsidR="00FF3744" w:rsidRPr="00DF635F" w:rsidTr="00FF3744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F3744" w:rsidRPr="00DF635F" w:rsidRDefault="00FF3744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Tyler Junior College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51.2%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52.7%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49.8%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49.2%</w:t>
            </w:r>
          </w:p>
        </w:tc>
        <w:tc>
          <w:tcPr>
            <w:tcW w:w="920" w:type="dxa"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51.1%</w:t>
            </w:r>
          </w:p>
        </w:tc>
      </w:tr>
      <w:tr w:rsidR="00FF3744" w:rsidRPr="00DF635F" w:rsidTr="00FF3744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F3744" w:rsidRPr="00DF635F" w:rsidRDefault="00FF3744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Large Group Community Colleges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53.5%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55.4%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54.1%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53.2%</w:t>
            </w:r>
          </w:p>
        </w:tc>
        <w:tc>
          <w:tcPr>
            <w:tcW w:w="920" w:type="dxa"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52.8%</w:t>
            </w:r>
          </w:p>
        </w:tc>
      </w:tr>
      <w:tr w:rsidR="00FF3744" w:rsidRPr="00DF635F" w:rsidTr="00FF3744">
        <w:trPr>
          <w:trHeight w:val="300"/>
        </w:trPr>
        <w:tc>
          <w:tcPr>
            <w:tcW w:w="3651" w:type="dxa"/>
            <w:shd w:val="clear" w:color="auto" w:fill="auto"/>
            <w:noWrap/>
            <w:vAlign w:val="bottom"/>
            <w:hideMark/>
          </w:tcPr>
          <w:p w:rsidR="00FF3744" w:rsidRPr="00DF635F" w:rsidRDefault="00FF3744" w:rsidP="00DF635F">
            <w:pPr>
              <w:rPr>
                <w:rFonts w:ascii="Lato" w:eastAsia="Times New Roman" w:hAnsi="Lato" w:cs="Times New Roman"/>
                <w:color w:val="000000"/>
              </w:rPr>
            </w:pPr>
            <w:r w:rsidRPr="00DF635F">
              <w:rPr>
                <w:rFonts w:ascii="Lato" w:eastAsia="Times New Roman" w:hAnsi="Lato" w:cs="Times New Roman"/>
                <w:color w:val="000000"/>
              </w:rPr>
              <w:t>State of Texas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53.0%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54.5%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55.7%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 w:rsidRPr="00DF635F">
              <w:rPr>
                <w:rFonts w:ascii="Lato" w:hAnsi="Lato"/>
              </w:rPr>
              <w:t>54.3%</w:t>
            </w:r>
          </w:p>
        </w:tc>
        <w:tc>
          <w:tcPr>
            <w:tcW w:w="920" w:type="dxa"/>
          </w:tcPr>
          <w:p w:rsidR="00FF3744" w:rsidRPr="00DF635F" w:rsidRDefault="00FF3744" w:rsidP="00DF635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54.5%</w:t>
            </w:r>
          </w:p>
        </w:tc>
      </w:tr>
    </w:tbl>
    <w:p w:rsidR="00DF635F" w:rsidRPr="004473B8" w:rsidRDefault="00DF635F" w:rsidP="00003793">
      <w:pPr>
        <w:rPr>
          <w:rFonts w:ascii="Lato Medium" w:hAnsi="Lato Medium"/>
        </w:rPr>
      </w:pPr>
    </w:p>
    <w:p w:rsidR="00003793" w:rsidRDefault="00003793"/>
    <w:p w:rsidR="00003793" w:rsidRDefault="00FF3744">
      <w:r>
        <w:rPr>
          <w:noProof/>
        </w:rPr>
        <w:drawing>
          <wp:inline distT="0" distB="0" distL="0" distR="0" wp14:anchorId="4F251F39" wp14:editId="04E63320">
            <wp:extent cx="6858000" cy="4537710"/>
            <wp:effectExtent l="0" t="0" r="0" b="1524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3793" w:rsidRDefault="00003793"/>
    <w:p w:rsidR="0089099A" w:rsidRDefault="0089099A"/>
    <w:p w:rsidR="005A4558" w:rsidRDefault="005A455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179B3" w:rsidRPr="004473B8" w:rsidRDefault="002D7606">
      <w:pPr>
        <w:rPr>
          <w:rFonts w:ascii="Lato Medium" w:hAnsi="Lato Medium"/>
          <w:b/>
          <w:u w:val="single"/>
        </w:rPr>
      </w:pPr>
      <w:r>
        <w:rPr>
          <w:rFonts w:ascii="Lato Medium" w:hAnsi="Lato Medium"/>
          <w:b/>
          <w:u w:val="single"/>
        </w:rPr>
        <w:t>Working or Enrolled in Texas One Year After Award</w:t>
      </w:r>
    </w:p>
    <w:p w:rsidR="004179B3" w:rsidRPr="002D7606" w:rsidRDefault="002D7606">
      <w:pPr>
        <w:rPr>
          <w:rFonts w:ascii="Lato Medium" w:hAnsi="Lato Medium"/>
          <w:i/>
        </w:rPr>
      </w:pPr>
      <w:r w:rsidRPr="002D7606">
        <w:rPr>
          <w:rFonts w:ascii="Lato Medium" w:hAnsi="Lato Medium"/>
          <w:i/>
        </w:rPr>
        <w:t>Increase the percentage of s</w:t>
      </w:r>
      <w:r w:rsidR="005A4558" w:rsidRPr="002D7606">
        <w:rPr>
          <w:rFonts w:ascii="Lato Medium" w:hAnsi="Lato Medium"/>
          <w:i/>
        </w:rPr>
        <w:t>tudents found working or enrolled in Texas within one year after earning a degree or certificate.</w:t>
      </w:r>
    </w:p>
    <w:p w:rsidR="00153FFF" w:rsidRPr="004473B8" w:rsidRDefault="005A4558">
      <w:pPr>
        <w:rPr>
          <w:rFonts w:ascii="Lato Medium" w:hAnsi="Lato Medium"/>
        </w:rPr>
      </w:pPr>
      <w:r w:rsidRPr="004473B8">
        <w:rPr>
          <w:rFonts w:ascii="Lato Medium" w:hAnsi="Lato Medium"/>
        </w:rPr>
        <w:t>Target:  9</w:t>
      </w:r>
      <w:r w:rsidR="002D7606">
        <w:rPr>
          <w:rFonts w:ascii="Lato Medium" w:hAnsi="Lato Medium"/>
        </w:rPr>
        <w:t>5</w:t>
      </w:r>
      <w:r w:rsidRPr="004473B8">
        <w:rPr>
          <w:rFonts w:ascii="Lato Medium" w:hAnsi="Lato Medium"/>
        </w:rPr>
        <w:t>%</w:t>
      </w:r>
    </w:p>
    <w:p w:rsidR="005A4558" w:rsidRPr="004473B8" w:rsidRDefault="005A4558">
      <w:pPr>
        <w:rPr>
          <w:rFonts w:ascii="Lato Medium" w:hAnsi="Lato Medium"/>
        </w:rPr>
      </w:pPr>
      <w:r w:rsidRPr="004473B8">
        <w:rPr>
          <w:rFonts w:ascii="Lato Medium" w:hAnsi="Lato Medium"/>
        </w:rPr>
        <w:t>Minimum Threshold: 8</w:t>
      </w:r>
      <w:r w:rsidR="002D7606">
        <w:rPr>
          <w:rFonts w:ascii="Lato Medium" w:hAnsi="Lato Medium"/>
        </w:rPr>
        <w:t>5</w:t>
      </w:r>
      <w:r w:rsidRPr="004473B8">
        <w:rPr>
          <w:rFonts w:ascii="Lato Medium" w:hAnsi="Lato Medium"/>
        </w:rPr>
        <w:t>%</w:t>
      </w:r>
    </w:p>
    <w:p w:rsidR="006D6FA4" w:rsidRPr="004473B8" w:rsidRDefault="002D7606" w:rsidP="006D6FA4">
      <w:pPr>
        <w:rPr>
          <w:rFonts w:ascii="Lato Medium" w:hAnsi="Lato Medium"/>
        </w:rPr>
      </w:pPr>
      <w:r w:rsidRPr="004473B8">
        <w:rPr>
          <w:rFonts w:ascii="Lato Medium" w:hAnsi="Lato Medium"/>
        </w:rPr>
        <w:t xml:space="preserve">Strategic Plan: </w:t>
      </w:r>
      <w:r w:rsidR="006D6FA4">
        <w:rPr>
          <w:rFonts w:ascii="Lato Medium" w:hAnsi="Lato Medium"/>
        </w:rPr>
        <w:t>Priority for Educational Excellence, Strategy 1, Actions 1 and 2; Strategy 2, Actions 1, 2, and 3</w:t>
      </w:r>
    </w:p>
    <w:p w:rsidR="005A4558" w:rsidRDefault="005A4558"/>
    <w:p w:rsidR="005A4558" w:rsidRDefault="005A4558"/>
    <w:p w:rsidR="00153FFF" w:rsidRDefault="00FF3744">
      <w:r>
        <w:rPr>
          <w:noProof/>
        </w:rPr>
        <w:drawing>
          <wp:inline distT="0" distB="0" distL="0" distR="0" wp14:anchorId="2D87BB65" wp14:editId="1FD9A09D">
            <wp:extent cx="6858000" cy="4107180"/>
            <wp:effectExtent l="0" t="0" r="0" b="762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5C5D" w:rsidRDefault="00155C5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4179B3" w:rsidRPr="004473B8" w:rsidRDefault="002D7606">
      <w:pPr>
        <w:rPr>
          <w:rFonts w:ascii="Lato Medium" w:hAnsi="Lato Medium"/>
          <w:b/>
          <w:u w:val="single"/>
        </w:rPr>
      </w:pPr>
      <w:r>
        <w:rPr>
          <w:rFonts w:ascii="Lato Medium" w:hAnsi="Lato Medium"/>
          <w:b/>
          <w:u w:val="single"/>
        </w:rPr>
        <w:t>Certificate and Licensure Pass Rates</w:t>
      </w:r>
    </w:p>
    <w:p w:rsidR="00153FFF" w:rsidRPr="002D7606" w:rsidRDefault="002D7606" w:rsidP="00153FFF">
      <w:pPr>
        <w:rPr>
          <w:rFonts w:ascii="Lato Medium" w:hAnsi="Lato Medium"/>
          <w:i/>
        </w:rPr>
      </w:pPr>
      <w:r w:rsidRPr="002D7606">
        <w:rPr>
          <w:rFonts w:ascii="Lato Medium" w:hAnsi="Lato Medium"/>
          <w:i/>
        </w:rPr>
        <w:t>Increase the p</w:t>
      </w:r>
      <w:r w:rsidR="00003793" w:rsidRPr="002D7606">
        <w:rPr>
          <w:rFonts w:ascii="Lato Medium" w:hAnsi="Lato Medium"/>
          <w:i/>
        </w:rPr>
        <w:t>ass rate for students who take a certification or licensure exam in their discipline.</w:t>
      </w:r>
    </w:p>
    <w:p w:rsidR="00153FFF" w:rsidRPr="004473B8" w:rsidRDefault="00003793" w:rsidP="00153FFF">
      <w:pPr>
        <w:rPr>
          <w:rFonts w:ascii="Lato Medium" w:hAnsi="Lato Medium"/>
        </w:rPr>
      </w:pPr>
      <w:r w:rsidRPr="004473B8">
        <w:rPr>
          <w:rFonts w:ascii="Lato Medium" w:hAnsi="Lato Medium"/>
        </w:rPr>
        <w:t>Target:  95</w:t>
      </w:r>
      <w:r w:rsidR="00153FFF" w:rsidRPr="004473B8">
        <w:rPr>
          <w:rFonts w:ascii="Lato Medium" w:hAnsi="Lato Medium"/>
        </w:rPr>
        <w:t xml:space="preserve">% pass rate </w:t>
      </w:r>
    </w:p>
    <w:p w:rsidR="00003793" w:rsidRPr="004473B8" w:rsidRDefault="00003793" w:rsidP="00153FFF">
      <w:pPr>
        <w:rPr>
          <w:rFonts w:ascii="Lato Medium" w:hAnsi="Lato Medium"/>
        </w:rPr>
      </w:pPr>
      <w:r w:rsidRPr="004473B8">
        <w:rPr>
          <w:rFonts w:ascii="Lato Medium" w:hAnsi="Lato Medium"/>
        </w:rPr>
        <w:t>Minimum Threshold: 8</w:t>
      </w:r>
      <w:r w:rsidR="002D7606">
        <w:rPr>
          <w:rFonts w:ascii="Lato Medium" w:hAnsi="Lato Medium"/>
        </w:rPr>
        <w:t>5</w:t>
      </w:r>
      <w:r w:rsidRPr="004473B8">
        <w:rPr>
          <w:rFonts w:ascii="Lato Medium" w:hAnsi="Lato Medium"/>
        </w:rPr>
        <w:t>%</w:t>
      </w:r>
    </w:p>
    <w:p w:rsidR="006D6FA4" w:rsidRPr="004473B8" w:rsidRDefault="002D7606" w:rsidP="006D6FA4">
      <w:pPr>
        <w:rPr>
          <w:rFonts w:ascii="Lato Medium" w:hAnsi="Lato Medium"/>
        </w:rPr>
      </w:pPr>
      <w:r w:rsidRPr="004473B8">
        <w:rPr>
          <w:rFonts w:ascii="Lato Medium" w:hAnsi="Lato Medium"/>
        </w:rPr>
        <w:t>Strategic</w:t>
      </w:r>
      <w:r>
        <w:rPr>
          <w:rFonts w:ascii="Lato Medium" w:hAnsi="Lato Medium"/>
        </w:rPr>
        <w:t xml:space="preserve"> Plan: </w:t>
      </w:r>
      <w:r w:rsidR="006D6FA4">
        <w:rPr>
          <w:rFonts w:ascii="Lato Medium" w:hAnsi="Lato Medium"/>
        </w:rPr>
        <w:t>Priority for Educational Excellence, Strategy 1, Actions 1 and 2; Strategy 2, Actions 1, 2, and 3</w:t>
      </w:r>
    </w:p>
    <w:p w:rsidR="002D7606" w:rsidRPr="004473B8" w:rsidRDefault="002D7606" w:rsidP="002D7606">
      <w:pPr>
        <w:rPr>
          <w:rFonts w:ascii="Lato Medium" w:hAnsi="Lato Medium"/>
        </w:rPr>
      </w:pPr>
    </w:p>
    <w:p w:rsidR="00003793" w:rsidRDefault="00003793" w:rsidP="00153FFF"/>
    <w:p w:rsidR="00003793" w:rsidRDefault="00FF3744" w:rsidP="00153FFF">
      <w:r>
        <w:rPr>
          <w:noProof/>
        </w:rPr>
        <w:drawing>
          <wp:inline distT="0" distB="0" distL="0" distR="0" wp14:anchorId="76535A2E" wp14:editId="4789449D">
            <wp:extent cx="6362700" cy="4366260"/>
            <wp:effectExtent l="0" t="0" r="0" b="1524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79B3" w:rsidRPr="00003793" w:rsidRDefault="004179B3"/>
    <w:p w:rsidR="004179B3" w:rsidRDefault="004179B3"/>
    <w:sectPr w:rsidR="004179B3" w:rsidSect="000B3A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B4A93"/>
    <w:multiLevelType w:val="hybridMultilevel"/>
    <w:tmpl w:val="5EE8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4E"/>
    <w:rsid w:val="00003793"/>
    <w:rsid w:val="00067A04"/>
    <w:rsid w:val="00095DFB"/>
    <w:rsid w:val="000A30F8"/>
    <w:rsid w:val="000B3A4E"/>
    <w:rsid w:val="0014165D"/>
    <w:rsid w:val="00143AEC"/>
    <w:rsid w:val="00153FFF"/>
    <w:rsid w:val="00155C5D"/>
    <w:rsid w:val="001B0265"/>
    <w:rsid w:val="002156DC"/>
    <w:rsid w:val="00230E44"/>
    <w:rsid w:val="002D7606"/>
    <w:rsid w:val="002E7135"/>
    <w:rsid w:val="00312C1B"/>
    <w:rsid w:val="003760CD"/>
    <w:rsid w:val="003C1E2A"/>
    <w:rsid w:val="004142F9"/>
    <w:rsid w:val="004179B3"/>
    <w:rsid w:val="004473B8"/>
    <w:rsid w:val="004710A6"/>
    <w:rsid w:val="004B3229"/>
    <w:rsid w:val="004B6CE4"/>
    <w:rsid w:val="004E25F2"/>
    <w:rsid w:val="004E2B7A"/>
    <w:rsid w:val="005A4558"/>
    <w:rsid w:val="005B422F"/>
    <w:rsid w:val="005D415F"/>
    <w:rsid w:val="006129E9"/>
    <w:rsid w:val="00695E93"/>
    <w:rsid w:val="006A1104"/>
    <w:rsid w:val="006C0969"/>
    <w:rsid w:val="006D6FA4"/>
    <w:rsid w:val="00793164"/>
    <w:rsid w:val="0079699F"/>
    <w:rsid w:val="007B20D2"/>
    <w:rsid w:val="007D0853"/>
    <w:rsid w:val="008319B5"/>
    <w:rsid w:val="00863872"/>
    <w:rsid w:val="0089099A"/>
    <w:rsid w:val="008B2298"/>
    <w:rsid w:val="008B2E18"/>
    <w:rsid w:val="008B6B91"/>
    <w:rsid w:val="008C0D3D"/>
    <w:rsid w:val="00910EA1"/>
    <w:rsid w:val="0092585B"/>
    <w:rsid w:val="009426E4"/>
    <w:rsid w:val="00980B5E"/>
    <w:rsid w:val="009C7413"/>
    <w:rsid w:val="00A24896"/>
    <w:rsid w:val="00A33FA8"/>
    <w:rsid w:val="00A64065"/>
    <w:rsid w:val="00A64FE0"/>
    <w:rsid w:val="00AB1CF6"/>
    <w:rsid w:val="00B13C66"/>
    <w:rsid w:val="00B16063"/>
    <w:rsid w:val="00B2011E"/>
    <w:rsid w:val="00B3558D"/>
    <w:rsid w:val="00B44FEA"/>
    <w:rsid w:val="00B664DF"/>
    <w:rsid w:val="00BC7B39"/>
    <w:rsid w:val="00BE2DEE"/>
    <w:rsid w:val="00BF2A4F"/>
    <w:rsid w:val="00C65E02"/>
    <w:rsid w:val="00C73050"/>
    <w:rsid w:val="00CE70BF"/>
    <w:rsid w:val="00D739DC"/>
    <w:rsid w:val="00DC36E5"/>
    <w:rsid w:val="00DD20B2"/>
    <w:rsid w:val="00DF635F"/>
    <w:rsid w:val="00E04382"/>
    <w:rsid w:val="00E431EA"/>
    <w:rsid w:val="00E46404"/>
    <w:rsid w:val="00E7741C"/>
    <w:rsid w:val="00EC1024"/>
    <w:rsid w:val="00F07517"/>
    <w:rsid w:val="00F85CD2"/>
    <w:rsid w:val="00FD2212"/>
    <w:rsid w:val="00FE05E4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06E0"/>
  <w15:chartTrackingRefBased/>
  <w15:docId w15:val="{21F0298F-E221-456E-880B-03D72B2F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760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1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chartUserShapes" Target="../drawings/drawing2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gdrive\IEIR\Assessment\Student%20Achievement\Student%20Achievement%20Data%20-%20Updated%20for%202019-2020%20on%2006-04-2020.xlsx" TargetMode="Externa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r>
              <a:rPr lang="en-US"/>
              <a:t>Completion Rates</a:t>
            </a:r>
          </a:p>
          <a:p>
            <a:pPr>
              <a:defRPr/>
            </a:pPr>
            <a:r>
              <a:rPr lang="en-US"/>
              <a:t>National Student Clearinghouse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Completion!$B$1</c:f>
              <c:strCache>
                <c:ptCount val="1"/>
                <c:pt idx="0">
                  <c:v>Overall Total Completion Rate for TJC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Completion!$A$2:$A$6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Completion!$B$2:$B$6</c:f>
              <c:numCache>
                <c:formatCode>0.00%</c:formatCode>
                <c:ptCount val="5"/>
                <c:pt idx="0">
                  <c:v>0.37569999999999998</c:v>
                </c:pt>
                <c:pt idx="1">
                  <c:v>0.4073</c:v>
                </c:pt>
                <c:pt idx="2">
                  <c:v>0.35310000000000002</c:v>
                </c:pt>
                <c:pt idx="3">
                  <c:v>0.37430000000000002</c:v>
                </c:pt>
                <c:pt idx="4">
                  <c:v>0.38700000000000001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4-4C76-9BBA-5956DC049B52}"/>
            </c:ext>
          </c:extLst>
        </c:ser>
        <c:ser>
          <c:idx val="1"/>
          <c:order val="1"/>
          <c:tx>
            <c:strRef>
              <c:f>Completion!$C$1</c:f>
              <c:strCache>
                <c:ptCount val="1"/>
                <c:pt idx="0">
                  <c:v>National Benchmark for Peer Institutions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rgbClr val="002060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Completion!$A$2:$A$6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Completion!$C$2:$C$6</c:f>
              <c:numCache>
                <c:formatCode>0.00%</c:formatCode>
                <c:ptCount val="5"/>
                <c:pt idx="0">
                  <c:v>0.38140000000000002</c:v>
                </c:pt>
                <c:pt idx="1">
                  <c:v>0.39290000000000003</c:v>
                </c:pt>
                <c:pt idx="2">
                  <c:v>0.37530000000000002</c:v>
                </c:pt>
                <c:pt idx="3">
                  <c:v>0.39219999999999999</c:v>
                </c:pt>
                <c:pt idx="4">
                  <c:v>0.40760000000000002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4-4C76-9BBA-5956DC049B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373760"/>
        <c:axId val="312366176"/>
      </c:barChart>
      <c:catAx>
        <c:axId val="31237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312366176"/>
        <c:crosses val="autoZero"/>
        <c:auto val="1"/>
        <c:lblAlgn val="ctr"/>
        <c:lblOffset val="100"/>
        <c:noMultiLvlLbl val="0"/>
      </c:catAx>
      <c:valAx>
        <c:axId val="312366176"/>
        <c:scaling>
          <c:orientation val="minMax"/>
          <c:max val="0.4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31237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Lato" charset="0"/>
          <a:ea typeface="Lato" charset="0"/>
          <a:cs typeface="Lato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r>
              <a:rPr lang="en-US"/>
              <a:t>Certificate and Licensure Pass Rates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'Certificate and Licensure Pass '!$A$2</c:f>
              <c:strCache>
                <c:ptCount val="1"/>
                <c:pt idx="0">
                  <c:v>Tyler Junior College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'Certificate and Licensure Pass 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'Certificate and Licensure Pass '!$B$2:$F$2</c:f>
              <c:numCache>
                <c:formatCode>0.0%</c:formatCode>
                <c:ptCount val="5"/>
                <c:pt idx="0">
                  <c:v>0.88400000000000001</c:v>
                </c:pt>
                <c:pt idx="1">
                  <c:v>0.86499999999999999</c:v>
                </c:pt>
                <c:pt idx="2">
                  <c:v>0.90900000000000003</c:v>
                </c:pt>
                <c:pt idx="3">
                  <c:v>0.85799999999999998</c:v>
                </c:pt>
                <c:pt idx="4">
                  <c:v>0.89229999999999998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0-4727-A440-1695D0853C31}"/>
            </c:ext>
          </c:extLst>
        </c:ser>
        <c:ser>
          <c:idx val="1"/>
          <c:order val="1"/>
          <c:tx>
            <c:strRef>
              <c:f>'Certificate and Licensure Pass '!$A$3</c:f>
              <c:strCache>
                <c:ptCount val="1"/>
                <c:pt idx="0">
                  <c:v>Large Group Community Colleges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'Certificate and Licensure Pass 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'Certificate and Licensure Pass '!$B$3:$F$3</c:f>
              <c:numCache>
                <c:formatCode>0.0%</c:formatCode>
                <c:ptCount val="5"/>
                <c:pt idx="0">
                  <c:v>0.88400000000000001</c:v>
                </c:pt>
                <c:pt idx="1">
                  <c:v>0.89</c:v>
                </c:pt>
                <c:pt idx="2">
                  <c:v>0.874</c:v>
                </c:pt>
                <c:pt idx="3">
                  <c:v>0.90029999999999999</c:v>
                </c:pt>
                <c:pt idx="4">
                  <c:v>0.85699999999999998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A0-4727-A440-1695D0853C31}"/>
            </c:ext>
          </c:extLst>
        </c:ser>
        <c:ser>
          <c:idx val="2"/>
          <c:order val="2"/>
          <c:tx>
            <c:strRef>
              <c:f>'Certificate and Licensure Pass '!$A$4</c:f>
              <c:strCache>
                <c:ptCount val="1"/>
                <c:pt idx="0">
                  <c:v>State of Texas</c:v>
                </c:pt>
              </c:strCache>
            </c:strRef>
          </c:tx>
          <c:spPr>
            <a:pattFill prst="ltUpDiag">
              <a:fgClr>
                <a:srgbClr val="FF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'Certificate and Licensure Pass 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'Certificate and Licensure Pass '!$B$4:$F$4</c:f>
              <c:numCache>
                <c:formatCode>0.0%</c:formatCode>
                <c:ptCount val="5"/>
                <c:pt idx="0">
                  <c:v>0.88500000000000001</c:v>
                </c:pt>
                <c:pt idx="1">
                  <c:v>0.89400000000000002</c:v>
                </c:pt>
                <c:pt idx="2">
                  <c:v>0.88700000000000001</c:v>
                </c:pt>
                <c:pt idx="3">
                  <c:v>0.89439999999999997</c:v>
                </c:pt>
                <c:pt idx="4">
                  <c:v>0.88200000000000001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A0-4727-A440-1695D0853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52128"/>
        <c:axId val="435854688"/>
      </c:barChart>
      <c:catAx>
        <c:axId val="43585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35854688"/>
        <c:crosses val="autoZero"/>
        <c:auto val="1"/>
        <c:lblAlgn val="ctr"/>
        <c:lblOffset val="100"/>
        <c:noMultiLvlLbl val="0"/>
      </c:catAx>
      <c:valAx>
        <c:axId val="4358546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3585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Lato" charset="0"/>
          <a:ea typeface="Lato" charset="0"/>
          <a:cs typeface="Lato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Completion</a:t>
            </a:r>
            <a:r>
              <a:rPr lang="en-US" baseline="0"/>
              <a:t> Rates by Gender</a:t>
            </a:r>
          </a:p>
          <a:p>
            <a:pPr>
              <a:defRPr/>
            </a:pPr>
            <a:r>
              <a:rPr lang="en-US" baseline="0"/>
              <a:t>National Student Clearinghouse</a:t>
            </a:r>
            <a:endParaRPr lang="en-US"/>
          </a:p>
        </c:rich>
      </c:tx>
      <c:layout>
        <c:manualLayout>
          <c:xMode val="edge"/>
          <c:yMode val="edge"/>
          <c:x val="0.238687445319335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'Disaggregated Completion'!$B$2</c:f>
              <c:strCache>
                <c:ptCount val="1"/>
                <c:pt idx="0">
                  <c:v>TJC Men</c:v>
                </c:pt>
              </c:strCache>
            </c:strRef>
          </c:tx>
          <c:spPr>
            <a:solidFill>
              <a:srgbClr val="FFCD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'Disaggregated Completion'!$A$3:$A$7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'Disaggregated Completion'!$B$3:$B$7</c:f>
              <c:numCache>
                <c:formatCode>0.00%</c:formatCode>
                <c:ptCount val="5"/>
                <c:pt idx="0">
                  <c:v>0.34810000000000002</c:v>
                </c:pt>
                <c:pt idx="1">
                  <c:v>0.3851</c:v>
                </c:pt>
                <c:pt idx="2">
                  <c:v>0.3301</c:v>
                </c:pt>
                <c:pt idx="3">
                  <c:v>0.3553</c:v>
                </c:pt>
                <c:pt idx="4">
                  <c:v>0.35060000000000002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96-4360-B1AE-529ADB6F685B}"/>
            </c:ext>
          </c:extLst>
        </c:ser>
        <c:ser>
          <c:idx val="1"/>
          <c:order val="1"/>
          <c:tx>
            <c:strRef>
              <c:f>'Disaggregated Completion'!$C$2</c:f>
              <c:strCache>
                <c:ptCount val="1"/>
                <c:pt idx="0">
                  <c:v>TJC Women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'Disaggregated Completion'!$A$3:$A$7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'Disaggregated Completion'!$C$3:$C$7</c:f>
              <c:numCache>
                <c:formatCode>0.00%</c:formatCode>
                <c:ptCount val="5"/>
                <c:pt idx="0">
                  <c:v>0.4173</c:v>
                </c:pt>
                <c:pt idx="1">
                  <c:v>0.45329999999999998</c:v>
                </c:pt>
                <c:pt idx="2">
                  <c:v>0.40360000000000001</c:v>
                </c:pt>
                <c:pt idx="3">
                  <c:v>0.4244</c:v>
                </c:pt>
                <c:pt idx="4">
                  <c:v>0.4214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96-4360-B1AE-529ADB6F6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454648"/>
        <c:axId val="564454976"/>
      </c:barChart>
      <c:catAx>
        <c:axId val="56445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454976"/>
        <c:crosses val="autoZero"/>
        <c:auto val="1"/>
        <c:lblAlgn val="ctr"/>
        <c:lblOffset val="100"/>
        <c:noMultiLvlLbl val="0"/>
      </c:catAx>
      <c:valAx>
        <c:axId val="56445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454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Completion Rates by Enrollment Intensity</a:t>
            </a:r>
          </a:p>
          <a:p>
            <a:pPr>
              <a:defRPr/>
            </a:pPr>
            <a:r>
              <a:rPr lang="en-US"/>
              <a:t>National Student Clearinghouse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'Disaggregated Completion'!$B$52</c:f>
              <c:strCache>
                <c:ptCount val="1"/>
                <c:pt idx="0">
                  <c:v>Exclusively Full-Time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'Disaggregated Completion'!$A$53:$A$57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'Disaggregated Completion'!$B$53:$B$57</c:f>
              <c:numCache>
                <c:formatCode>0.00%</c:formatCode>
                <c:ptCount val="5"/>
                <c:pt idx="0">
                  <c:v>0.40250000000000002</c:v>
                </c:pt>
                <c:pt idx="1">
                  <c:v>0.41920000000000002</c:v>
                </c:pt>
                <c:pt idx="2">
                  <c:v>0.43969999999999998</c:v>
                </c:pt>
                <c:pt idx="3">
                  <c:v>0.48730000000000001</c:v>
                </c:pt>
                <c:pt idx="4">
                  <c:v>0.48700000000000004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D-4F0C-A55A-9CF78992D403}"/>
            </c:ext>
          </c:extLst>
        </c:ser>
        <c:ser>
          <c:idx val="1"/>
          <c:order val="1"/>
          <c:tx>
            <c:strRef>
              <c:f>'Disaggregated Completion'!$C$52</c:f>
              <c:strCache>
                <c:ptCount val="1"/>
                <c:pt idx="0">
                  <c:v>Exclusively Part-Time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'Disaggregated Completion'!$A$53:$A$57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'Disaggregated Completion'!$C$53:$C$57</c:f>
              <c:numCache>
                <c:formatCode>0.00%</c:formatCode>
                <c:ptCount val="5"/>
                <c:pt idx="0">
                  <c:v>0.22320000000000001</c:v>
                </c:pt>
                <c:pt idx="1">
                  <c:v>0.29070000000000001</c:v>
                </c:pt>
                <c:pt idx="2">
                  <c:v>0.25580000000000003</c:v>
                </c:pt>
                <c:pt idx="3">
                  <c:v>0.35599999999999998</c:v>
                </c:pt>
                <c:pt idx="4">
                  <c:v>0.25280000000000002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D-4F0C-A55A-9CF78992D403}"/>
            </c:ext>
          </c:extLst>
        </c:ser>
        <c:ser>
          <c:idx val="2"/>
          <c:order val="2"/>
          <c:tx>
            <c:strRef>
              <c:f>'Disaggregated Completion'!$D$52</c:f>
              <c:strCache>
                <c:ptCount val="1"/>
                <c:pt idx="0">
                  <c:v>Mixed Enrollment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'Disaggregated Completion'!$A$53:$A$57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'Disaggregated Completion'!$D$53:$D$57</c:f>
              <c:numCache>
                <c:formatCode>0.00%</c:formatCode>
                <c:ptCount val="5"/>
                <c:pt idx="0">
                  <c:v>0.36930000000000002</c:v>
                </c:pt>
                <c:pt idx="1">
                  <c:v>0.4093</c:v>
                </c:pt>
                <c:pt idx="2">
                  <c:v>0.29139999999999999</c:v>
                </c:pt>
                <c:pt idx="3">
                  <c:v>0.28789999999999999</c:v>
                </c:pt>
                <c:pt idx="4">
                  <c:v>0.31459999999999999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ED-4F0C-A55A-9CF78992D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3741848"/>
        <c:axId val="493743488"/>
      </c:barChart>
      <c:catAx>
        <c:axId val="493741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743488"/>
        <c:crosses val="autoZero"/>
        <c:auto val="1"/>
        <c:lblAlgn val="ctr"/>
        <c:lblOffset val="100"/>
        <c:noMultiLvlLbl val="0"/>
      </c:catAx>
      <c:valAx>
        <c:axId val="49374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3741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Six</a:t>
            </a:r>
            <a:r>
              <a:rPr lang="en-US" baseline="0"/>
              <a:t> Year Outcomes and First Completion by Race/Ethnicity</a:t>
            </a:r>
          </a:p>
          <a:p>
            <a:pPr>
              <a:defRPr/>
            </a:pPr>
            <a:r>
              <a:rPr lang="en-US" baseline="0"/>
              <a:t>National Student Clearinghouse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'Disaggregated Completion'!$B$30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5.51876379690949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F44-455C-A539-E7B96A51C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'Disaggregated Completion'!$A$31:$A$35</c:f>
              <c:strCache>
                <c:ptCount val="5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Other</c:v>
                </c:pt>
              </c:strCache>
            </c:strRef>
          </c:cat>
          <c:val>
            <c:numRef>
              <c:f>'Disaggregated Completion'!$B$31:$B$35</c:f>
              <c:numCache>
                <c:formatCode>0.00%</c:formatCode>
                <c:ptCount val="5"/>
                <c:pt idx="0">
                  <c:v>0.32</c:v>
                </c:pt>
                <c:pt idx="1">
                  <c:v>0.1128</c:v>
                </c:pt>
                <c:pt idx="2">
                  <c:v>0.33189999999999997</c:v>
                </c:pt>
                <c:pt idx="3">
                  <c:v>0.26740000000000003</c:v>
                </c:pt>
                <c:pt idx="4">
                  <c:v>0.25309999999999999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44-455C-A539-E7B96A51CA8A}"/>
            </c:ext>
          </c:extLst>
        </c:ser>
        <c:ser>
          <c:idx val="1"/>
          <c:order val="1"/>
          <c:tx>
            <c:strRef>
              <c:f>'Disaggregated Completion'!$C$30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'Disaggregated Completion'!$A$31:$A$35</c:f>
              <c:strCache>
                <c:ptCount val="5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Other</c:v>
                </c:pt>
              </c:strCache>
            </c:strRef>
          </c:cat>
          <c:val>
            <c:numRef>
              <c:f>'Disaggregated Completion'!$C$31:$C$35</c:f>
              <c:numCache>
                <c:formatCode>0.00%</c:formatCode>
                <c:ptCount val="5"/>
                <c:pt idx="0">
                  <c:v>0.36</c:v>
                </c:pt>
                <c:pt idx="1">
                  <c:v>0.22140000000000001</c:v>
                </c:pt>
                <c:pt idx="2">
                  <c:v>0.42420000000000002</c:v>
                </c:pt>
                <c:pt idx="3">
                  <c:v>0.42820000000000003</c:v>
                </c:pt>
                <c:pt idx="4">
                  <c:v>0.52049999999999996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44-455C-A539-E7B96A51CA8A}"/>
            </c:ext>
          </c:extLst>
        </c:ser>
        <c:ser>
          <c:idx val="2"/>
          <c:order val="2"/>
          <c:tx>
            <c:strRef>
              <c:f>'Disaggregated Completion'!$D$30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FFCD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3"/>
              <c:layout>
                <c:manualLayout>
                  <c:x val="-5.5187637969094927E-3"/>
                  <c:y val="-5.77603073331719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F44-455C-A539-E7B96A51C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'Disaggregated Completion'!$A$31:$A$35</c:f>
              <c:strCache>
                <c:ptCount val="5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Other</c:v>
                </c:pt>
              </c:strCache>
            </c:strRef>
          </c:cat>
          <c:val>
            <c:numRef>
              <c:f>'Disaggregated Completion'!$D$31:$D$35</c:f>
              <c:numCache>
                <c:formatCode>0.00%</c:formatCode>
                <c:ptCount val="5"/>
                <c:pt idx="0">
                  <c:v>0.48509999999999998</c:v>
                </c:pt>
                <c:pt idx="1">
                  <c:v>0.25890000000000002</c:v>
                </c:pt>
                <c:pt idx="2">
                  <c:v>0.38640000000000002</c:v>
                </c:pt>
                <c:pt idx="3">
                  <c:v>0.46789999999999998</c:v>
                </c:pt>
                <c:pt idx="4">
                  <c:v>0.50409999999999999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44-455C-A539-E7B96A51CA8A}"/>
            </c:ext>
          </c:extLst>
        </c:ser>
        <c:ser>
          <c:idx val="3"/>
          <c:order val="3"/>
          <c:tx>
            <c:strRef>
              <c:f>'Disaggregated Completion'!$E$30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1.8395879323030967E-3"/>
                  <c:y val="6.30119722747321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F44-455C-A539-E7B96A51CA8A}"/>
                </c:ext>
              </c:extLst>
            </c:dLbl>
            <c:dLbl>
              <c:idx val="3"/>
              <c:layout>
                <c:manualLayout>
                  <c:x val="1.1037527593818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F44-455C-A539-E7B96A51C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'Disaggregated Completion'!$A$31:$A$35</c:f>
              <c:strCache>
                <c:ptCount val="5"/>
                <c:pt idx="0">
                  <c:v>Asian</c:v>
                </c:pt>
                <c:pt idx="1">
                  <c:v>Black</c:v>
                </c:pt>
                <c:pt idx="2">
                  <c:v>Hispanic</c:v>
                </c:pt>
                <c:pt idx="3">
                  <c:v>White</c:v>
                </c:pt>
                <c:pt idx="4">
                  <c:v>Other</c:v>
                </c:pt>
              </c:strCache>
            </c:strRef>
          </c:cat>
          <c:val>
            <c:numRef>
              <c:f>'Disaggregated Completion'!$E$31:$E$35</c:f>
              <c:numCache>
                <c:formatCode>0.00%</c:formatCode>
                <c:ptCount val="5"/>
                <c:pt idx="0">
                  <c:v>0.33640000000000003</c:v>
                </c:pt>
                <c:pt idx="1">
                  <c:v>0.249</c:v>
                </c:pt>
                <c:pt idx="2">
                  <c:v>0.43189999999999995</c:v>
                </c:pt>
                <c:pt idx="3">
                  <c:v>0.47090000000000004</c:v>
                </c:pt>
                <c:pt idx="4">
                  <c:v>0.54520000000000002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44-455C-A539-E7B96A51C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9432712"/>
        <c:axId val="689434680"/>
      </c:barChart>
      <c:catAx>
        <c:axId val="689432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434680"/>
        <c:crosses val="autoZero"/>
        <c:auto val="1"/>
        <c:lblAlgn val="ctr"/>
        <c:lblOffset val="100"/>
        <c:noMultiLvlLbl val="0"/>
      </c:catAx>
      <c:valAx>
        <c:axId val="689434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9432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Number of Awards Conferred by Year</a:t>
            </a:r>
          </a:p>
          <a:p>
            <a:pPr>
              <a:defRPr/>
            </a:pPr>
            <a:r>
              <a:rPr lang="en-US"/>
              <a:t>THECB Accountability Report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'Number of Awards'!$B$1</c:f>
              <c:strCache>
                <c:ptCount val="1"/>
                <c:pt idx="0">
                  <c:v>Number of Awards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85F-46D1-B3E7-83FC055E09B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85F-46D1-B3E7-83FC055E09BE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85F-46D1-B3E7-83FC055E09B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85F-46D1-B3E7-83FC055E09B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85F-46D1-B3E7-83FC055E09BE}"/>
              </c:ext>
            </c:extLst>
          </c:dPt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5F-46D1-B3E7-83FC055E09B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85F-46D1-B3E7-83FC055E09B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85F-46D1-B3E7-83FC055E09BE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85F-46D1-B3E7-83FC055E09BE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85F-46D1-B3E7-83FC055E09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'Number of Awards'!$A$2:$A$6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'Number of Awards'!$B$2:$B$6</c:f>
              <c:numCache>
                <c:formatCode>0</c:formatCode>
                <c:ptCount val="5"/>
                <c:pt idx="0">
                  <c:v>2117</c:v>
                </c:pt>
                <c:pt idx="1">
                  <c:v>1850</c:v>
                </c:pt>
                <c:pt idx="2">
                  <c:v>1994</c:v>
                </c:pt>
                <c:pt idx="3">
                  <c:v>2108</c:v>
                </c:pt>
                <c:pt idx="4">
                  <c:v>2403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85F-46D1-B3E7-83FC055E09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546059152"/>
        <c:axId val="546059808"/>
      </c:barChart>
      <c:catAx>
        <c:axId val="54605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059808"/>
        <c:crosses val="autoZero"/>
        <c:auto val="1"/>
        <c:lblAlgn val="ctr"/>
        <c:lblOffset val="100"/>
        <c:noMultiLvlLbl val="0"/>
      </c:catAx>
      <c:valAx>
        <c:axId val="54605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605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Awards Conferred by Year to Economically Disadvantaged</a:t>
            </a:r>
            <a:r>
              <a:rPr lang="en-US" baseline="0"/>
              <a:t> Students</a:t>
            </a:r>
          </a:p>
          <a:p>
            <a:pPr>
              <a:defRPr/>
            </a:pPr>
            <a:r>
              <a:rPr lang="en-US" baseline="0"/>
              <a:t>THECB Accountability Report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'Number of Awards - Economically'!$B$1</c:f>
              <c:strCache>
                <c:ptCount val="1"/>
                <c:pt idx="0">
                  <c:v>Number of Awards (Economically Disadvantaged)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B8-4C2D-B66F-627DD1F72D4C}"/>
              </c:ext>
            </c:extLst>
          </c:dPt>
          <c:dPt>
            <c:idx val="1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B8-4C2D-B66F-627DD1F72D4C}"/>
              </c:ext>
            </c:extLst>
          </c:dPt>
          <c:dPt>
            <c:idx val="2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B8-4C2D-B66F-627DD1F72D4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B8-4C2D-B66F-627DD1F72D4C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B8-4C2D-B66F-627DD1F72D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'Number of Awards - Economically'!$A$2:$A$6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'Number of Awards - Economically'!$B$2:$B$6</c:f>
              <c:numCache>
                <c:formatCode>General</c:formatCode>
                <c:ptCount val="5"/>
                <c:pt idx="0">
                  <c:v>1026</c:v>
                </c:pt>
                <c:pt idx="1">
                  <c:v>913</c:v>
                </c:pt>
                <c:pt idx="2">
                  <c:v>987</c:v>
                </c:pt>
                <c:pt idx="3">
                  <c:v>1124</c:v>
                </c:pt>
                <c:pt idx="4">
                  <c:v>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EB8-4C2D-B66F-627DD1F72D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64279952"/>
        <c:axId val="464280936"/>
      </c:barChart>
      <c:catAx>
        <c:axId val="46427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280936"/>
        <c:crosses val="autoZero"/>
        <c:auto val="1"/>
        <c:lblAlgn val="ctr"/>
        <c:lblOffset val="100"/>
        <c:noMultiLvlLbl val="0"/>
      </c:catAx>
      <c:valAx>
        <c:axId val="464280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427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r>
              <a:rPr lang="en-US"/>
              <a:t>One-Year Persistence Rates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'Persistence Rates'!$A$2</c:f>
              <c:strCache>
                <c:ptCount val="1"/>
                <c:pt idx="0">
                  <c:v>Tyler Junior College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Rates'!$B$2:$F$2</c:f>
              <c:numCache>
                <c:formatCode>0.0%</c:formatCode>
                <c:ptCount val="5"/>
                <c:pt idx="0">
                  <c:v>0.65</c:v>
                </c:pt>
                <c:pt idx="1">
                  <c:v>0.63200000000000001</c:v>
                </c:pt>
                <c:pt idx="2">
                  <c:v>0.63300000000000001</c:v>
                </c:pt>
                <c:pt idx="3">
                  <c:v>0.65</c:v>
                </c:pt>
                <c:pt idx="4">
                  <c:v>0.65400000000000003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CA-4551-A8F8-AC661BD570D6}"/>
            </c:ext>
          </c:extLst>
        </c:ser>
        <c:ser>
          <c:idx val="1"/>
          <c:order val="1"/>
          <c:tx>
            <c:strRef>
              <c:f>'Persistence Rates'!$A$3</c:f>
              <c:strCache>
                <c:ptCount val="1"/>
                <c:pt idx="0">
                  <c:v>Large Group Community Colleges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Rates'!$B$3:$F$3</c:f>
              <c:numCache>
                <c:formatCode>0.0%</c:formatCode>
                <c:ptCount val="5"/>
                <c:pt idx="0">
                  <c:v>0.67</c:v>
                </c:pt>
                <c:pt idx="1">
                  <c:v>0.66400000000000003</c:v>
                </c:pt>
                <c:pt idx="2">
                  <c:v>0.66400000000000003</c:v>
                </c:pt>
                <c:pt idx="3">
                  <c:v>0.65599999999999992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CA-4551-A8F8-AC661BD570D6}"/>
            </c:ext>
          </c:extLst>
        </c:ser>
        <c:ser>
          <c:idx val="2"/>
          <c:order val="2"/>
          <c:tx>
            <c:strRef>
              <c:f>'Persistence Rates'!$A$4</c:f>
              <c:strCache>
                <c:ptCount val="1"/>
                <c:pt idx="0">
                  <c:v>State of Texas</c:v>
                </c:pt>
              </c:strCache>
            </c:strRef>
          </c:tx>
          <c:spPr>
            <a:pattFill prst="wdDnDiag">
              <a:fgClr>
                <a:srgbClr val="FF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Rates'!$B$1:$F$1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Rates'!$B$4:$F$4</c:f>
              <c:numCache>
                <c:formatCode>0.0%</c:formatCode>
                <c:ptCount val="5"/>
                <c:pt idx="0">
                  <c:v>0.66900000000000004</c:v>
                </c:pt>
                <c:pt idx="1">
                  <c:v>0.68400000000000005</c:v>
                </c:pt>
                <c:pt idx="2">
                  <c:v>0.68200000000000005</c:v>
                </c:pt>
                <c:pt idx="3">
                  <c:v>0.67700000000000005</c:v>
                </c:pt>
                <c:pt idx="4">
                  <c:v>0.68300000000000005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CA-4551-A8F8-AC661BD570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810400"/>
        <c:axId val="435774976"/>
      </c:barChart>
      <c:catAx>
        <c:axId val="43581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35774976"/>
        <c:crosses val="autoZero"/>
        <c:auto val="1"/>
        <c:lblAlgn val="ctr"/>
        <c:lblOffset val="100"/>
        <c:noMultiLvlLbl val="0"/>
      </c:catAx>
      <c:valAx>
        <c:axId val="435774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3581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Lato" charset="0"/>
          <a:ea typeface="Lato" charset="0"/>
          <a:cs typeface="Lato" charset="0"/>
        </a:defRPr>
      </a:pPr>
      <a:endParaRPr lang="en-US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r>
              <a:rPr lang="en-US"/>
              <a:t>Two-Year Persistence Rates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'Persistence Rates'!$A$9</c:f>
              <c:strCache>
                <c:ptCount val="1"/>
                <c:pt idx="0">
                  <c:v>Tyler Junior College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Rates'!$B$8:$F$8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Rates'!$B$9:$F$9</c:f>
              <c:numCache>
                <c:formatCode>0.0%</c:formatCode>
                <c:ptCount val="5"/>
                <c:pt idx="0">
                  <c:v>0.51200000000000001</c:v>
                </c:pt>
                <c:pt idx="1">
                  <c:v>0.52700000000000002</c:v>
                </c:pt>
                <c:pt idx="2">
                  <c:v>0.498</c:v>
                </c:pt>
                <c:pt idx="3">
                  <c:v>0.49200000000000005</c:v>
                </c:pt>
                <c:pt idx="4">
                  <c:v>0.51100000000000001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E-41A3-9BA9-B46F271761DC}"/>
            </c:ext>
          </c:extLst>
        </c:ser>
        <c:ser>
          <c:idx val="1"/>
          <c:order val="1"/>
          <c:tx>
            <c:strRef>
              <c:f>'Persistence Rates'!$A$10</c:f>
              <c:strCache>
                <c:ptCount val="1"/>
                <c:pt idx="0">
                  <c:v>Large Group Community Colleges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Rates'!$B$8:$F$8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Rates'!$B$10:$F$10</c:f>
              <c:numCache>
                <c:formatCode>0.0%</c:formatCode>
                <c:ptCount val="5"/>
                <c:pt idx="0">
                  <c:v>0.53500000000000003</c:v>
                </c:pt>
                <c:pt idx="1">
                  <c:v>0.55400000000000005</c:v>
                </c:pt>
                <c:pt idx="2">
                  <c:v>0.54100000000000004</c:v>
                </c:pt>
                <c:pt idx="3">
                  <c:v>0.53200000000000003</c:v>
                </c:pt>
                <c:pt idx="4">
                  <c:v>0.52800000000000002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E-41A3-9BA9-B46F271761DC}"/>
            </c:ext>
          </c:extLst>
        </c:ser>
        <c:ser>
          <c:idx val="2"/>
          <c:order val="2"/>
          <c:tx>
            <c:strRef>
              <c:f>'Persistence Rates'!$A$11</c:f>
              <c:strCache>
                <c:ptCount val="1"/>
                <c:pt idx="0">
                  <c:v>State of Texas</c:v>
                </c:pt>
              </c:strCache>
            </c:strRef>
          </c:tx>
          <c:spPr>
            <a:pattFill prst="wdDnDiag">
              <a:fgClr>
                <a:srgbClr val="FF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'Persistence Rates'!$B$8:$F$8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'Persistence Rates'!$B$11:$F$11</c:f>
              <c:numCache>
                <c:formatCode>0.0%</c:formatCode>
                <c:ptCount val="5"/>
                <c:pt idx="0">
                  <c:v>0.53</c:v>
                </c:pt>
                <c:pt idx="1">
                  <c:v>0.54500000000000004</c:v>
                </c:pt>
                <c:pt idx="2">
                  <c:v>0.55700000000000005</c:v>
                </c:pt>
                <c:pt idx="3">
                  <c:v>0.54299999999999993</c:v>
                </c:pt>
                <c:pt idx="4">
                  <c:v>0.54500000000000004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DE-41A3-9BA9-B46F271761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399792"/>
        <c:axId val="402402624"/>
      </c:barChart>
      <c:catAx>
        <c:axId val="40239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02402624"/>
        <c:crosses val="autoZero"/>
        <c:auto val="1"/>
        <c:lblAlgn val="ctr"/>
        <c:lblOffset val="100"/>
        <c:noMultiLvlLbl val="0"/>
      </c:catAx>
      <c:valAx>
        <c:axId val="402402624"/>
        <c:scaling>
          <c:orientation val="minMax"/>
          <c:max val="0.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0239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Lato" charset="0"/>
          <a:ea typeface="Lato" charset="0"/>
          <a:cs typeface="Lato" charset="0"/>
        </a:defRPr>
      </a:pPr>
      <a:endParaRPr lang="en-US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r>
              <a:rPr lang="en-US"/>
              <a:t>Working or Enrolled in Texas One Year After Award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'Working or Enrolled After Grad'!$A$2</c:f>
              <c:strCache>
                <c:ptCount val="1"/>
                <c:pt idx="0">
                  <c:v>Tyler Junior College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'Working or Enrolled After Grad'!$B$1:$F$1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'Working or Enrolled After Grad'!$B$2:$F$2</c:f>
              <c:numCache>
                <c:formatCode>0.0%</c:formatCode>
                <c:ptCount val="5"/>
                <c:pt idx="0">
                  <c:v>0.93300000000000005</c:v>
                </c:pt>
                <c:pt idx="1">
                  <c:v>0.92900000000000005</c:v>
                </c:pt>
                <c:pt idx="2">
                  <c:v>0.89600000000000002</c:v>
                </c:pt>
                <c:pt idx="3">
                  <c:v>0.92500000000000004</c:v>
                </c:pt>
                <c:pt idx="4">
                  <c:v>0.93700000000000006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9-49AE-AD01-DBF353E4643F}"/>
            </c:ext>
          </c:extLst>
        </c:ser>
        <c:ser>
          <c:idx val="1"/>
          <c:order val="1"/>
          <c:tx>
            <c:strRef>
              <c:f>'Working or Enrolled After Grad'!$A$3</c:f>
              <c:strCache>
                <c:ptCount val="1"/>
                <c:pt idx="0">
                  <c:v>Large Group Community Colleges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'Working or Enrolled After Grad'!$B$1:$F$1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'Working or Enrolled After Grad'!$B$3:$F$3</c:f>
              <c:numCache>
                <c:formatCode>0.0%</c:formatCode>
                <c:ptCount val="5"/>
                <c:pt idx="0">
                  <c:v>0.84699999999999998</c:v>
                </c:pt>
                <c:pt idx="1">
                  <c:v>0.874</c:v>
                </c:pt>
                <c:pt idx="2">
                  <c:v>0.873</c:v>
                </c:pt>
                <c:pt idx="3">
                  <c:v>0.85799999999999998</c:v>
                </c:pt>
                <c:pt idx="4">
                  <c:v>0.879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59-49AE-AD01-DBF353E4643F}"/>
            </c:ext>
          </c:extLst>
        </c:ser>
        <c:ser>
          <c:idx val="2"/>
          <c:order val="2"/>
          <c:tx>
            <c:strRef>
              <c:f>'Working or Enrolled After Grad'!$A$4</c:f>
              <c:strCache>
                <c:ptCount val="1"/>
                <c:pt idx="0">
                  <c:v>State of Texas</c:v>
                </c:pt>
              </c:strCache>
            </c:strRef>
          </c:tx>
          <c:spPr>
            <a:pattFill prst="wdDnDiag">
              <a:fgClr>
                <a:schemeClr val="bg1"/>
              </a:fgClr>
              <a:bgClr>
                <a:srgbClr val="FF0000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charset="0"/>
                    <a:ea typeface="Lato" charset="0"/>
                    <a:cs typeface="Lato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'Working or Enrolled After Grad'!$B$1:$F$1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'Working or Enrolled After Grad'!$B$4:$F$4</c:f>
              <c:numCache>
                <c:formatCode>0.0%</c:formatCode>
                <c:ptCount val="5"/>
                <c:pt idx="1">
                  <c:v>0.88400000000000001</c:v>
                </c:pt>
                <c:pt idx="2">
                  <c:v>0.89300000000000002</c:v>
                </c:pt>
                <c:pt idx="3">
                  <c:v>0.89500000000000002</c:v>
                </c:pt>
                <c:pt idx="4">
                  <c:v>0.90100000000000002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59-49AE-AD01-DBF353E46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2342880"/>
        <c:axId val="402345712"/>
      </c:barChart>
      <c:catAx>
        <c:axId val="40234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02345712"/>
        <c:crosses val="autoZero"/>
        <c:auto val="1"/>
        <c:lblAlgn val="ctr"/>
        <c:lblOffset val="100"/>
        <c:noMultiLvlLbl val="0"/>
      </c:catAx>
      <c:valAx>
        <c:axId val="402345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charset="0"/>
                <a:ea typeface="Lato" charset="0"/>
                <a:cs typeface="Lato" charset="0"/>
              </a:defRPr>
            </a:pPr>
            <a:endParaRPr lang="en-US"/>
          </a:p>
        </c:txPr>
        <c:crossAx val="4023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Lato" charset="0"/>
              <a:ea typeface="Lato" charset="0"/>
              <a:cs typeface="Lato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Lato" charset="0"/>
          <a:ea typeface="Lato" charset="0"/>
          <a:cs typeface="Lato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0.06952</cdr:x>
      <cdr:y>0.25888</cdr:y>
    </cdr:from>
    <cdr:to>
      <cdr:x>0.97754</cdr:x>
      <cdr:y>0.26468</cdr:y>
    </cdr:to>
    <cdr:cxnSp macro="">
      <cdr:nvCxnSpPr>
        <cdr:cNvPr id="11" name="Straight Connector 10"/>
        <cdr:cNvCxnSpPr/>
      </cdr:nvCxnSpPr>
      <cdr:spPr>
        <a:xfrm xmlns:a="http://schemas.openxmlformats.org/drawingml/2006/main" flipV="1">
          <a:off x="495300" y="1360170"/>
          <a:ext cx="6469380" cy="3048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0.06845</cdr:x>
      <cdr:y>0.17041</cdr:y>
    </cdr:from>
    <cdr:to>
      <cdr:x>0.97861</cdr:x>
      <cdr:y>0.17331</cdr:y>
    </cdr:to>
    <cdr:cxnSp macro="">
      <cdr:nvCxnSpPr>
        <cdr:cNvPr id="13" name="Straight Connector 12"/>
        <cdr:cNvCxnSpPr/>
      </cdr:nvCxnSpPr>
      <cdr:spPr>
        <a:xfrm xmlns:a="http://schemas.openxmlformats.org/drawingml/2006/main" flipV="1">
          <a:off x="487680" y="895350"/>
          <a:ext cx="6484620" cy="152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CD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0.02667</cdr:x>
      <cdr:y>0.20256</cdr:y>
    </cdr:from>
    <cdr:to>
      <cdr:x>0.12371</cdr:x>
      <cdr:y>0.26534</cdr:y>
    </cdr:to>
    <cdr:sp macro="" textlink="">
      <cdr:nvSpPr>
        <cdr:cNvPr id="14" name="TextBox 3"/>
        <cdr:cNvSpPr txBox="1"/>
      </cdr:nvSpPr>
      <cdr:spPr>
        <a:xfrm xmlns:a="http://schemas.openxmlformats.org/drawingml/2006/main">
          <a:off x="182880" y="954016"/>
          <a:ext cx="665523" cy="295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Lato" panose="020F0502020204030203" pitchFamily="34" charset="0"/>
            </a:rPr>
            <a:t>Minimum Threshold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0.03123</cdr:x>
      <cdr:y>0.25673</cdr:y>
    </cdr:from>
    <cdr:to>
      <cdr:x>0.12679</cdr:x>
      <cdr:y>0.31007</cdr:y>
    </cdr:to>
    <cdr:sp macro="" textlink="">
      <cdr:nvSpPr>
        <cdr:cNvPr id="9" name="TextBox 3"/>
        <cdr:cNvSpPr txBox="1"/>
      </cdr:nvSpPr>
      <cdr:spPr>
        <a:xfrm xmlns:a="http://schemas.openxmlformats.org/drawingml/2006/main">
          <a:off x="210820" y="1247140"/>
          <a:ext cx="645160" cy="25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Lato" panose="020F0502020204030203" pitchFamily="34" charset="0"/>
            </a:rPr>
            <a:t>Minimum Threshold</a:t>
          </a:r>
        </a:p>
      </cdr:txBody>
    </cdr:sp>
  </cdr:relSizeAnchor>
  <cdr:relSizeAnchor xmlns:cdr="http://schemas.openxmlformats.org/drawingml/2006/chartDrawing">
    <cdr:from>
      <cdr:x>0.06653</cdr:x>
      <cdr:y>0.32418</cdr:y>
    </cdr:from>
    <cdr:to>
      <cdr:x>0.99693</cdr:x>
      <cdr:y>0.3289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495300" y="1577270"/>
          <a:ext cx="6926580" cy="2293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0.04879</cdr:x>
      <cdr:y>0.18429</cdr:y>
    </cdr:from>
    <cdr:to>
      <cdr:x>0.12351</cdr:x>
      <cdr:y>0.23754</cdr:y>
    </cdr:to>
    <cdr:sp macro="" textlink="">
      <cdr:nvSpPr>
        <cdr:cNvPr id="12" name="TextBox 3"/>
        <cdr:cNvSpPr txBox="1"/>
      </cdr:nvSpPr>
      <cdr:spPr>
        <a:xfrm xmlns:a="http://schemas.openxmlformats.org/drawingml/2006/main">
          <a:off x="363220" y="896620"/>
          <a:ext cx="556260" cy="25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>
              <a:latin typeface="Lato" panose="020F0502020204030203" pitchFamily="34" charset="0"/>
            </a:rPr>
            <a:t>Target</a:t>
          </a:r>
        </a:p>
      </cdr:txBody>
    </cdr:sp>
  </cdr:relSizeAnchor>
  <cdr:relSizeAnchor xmlns:cdr="http://schemas.openxmlformats.org/drawingml/2006/chartDrawing">
    <cdr:from>
      <cdr:x>0.06039</cdr:x>
      <cdr:y>0.22031</cdr:y>
    </cdr:from>
    <cdr:to>
      <cdr:x>0.98021</cdr:x>
      <cdr:y>0.22396</cdr:y>
    </cdr:to>
    <cdr:cxnSp macro="">
      <cdr:nvCxnSpPr>
        <cdr:cNvPr id="15" name="Straight Connector 14"/>
        <cdr:cNvCxnSpPr/>
      </cdr:nvCxnSpPr>
      <cdr:spPr>
        <a:xfrm xmlns:a="http://schemas.openxmlformats.org/drawingml/2006/main" flipV="1">
          <a:off x="449580" y="1071880"/>
          <a:ext cx="6847840" cy="1778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CD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0.05237</cdr:x>
      <cdr:y>0.16184</cdr:y>
    </cdr:from>
    <cdr:to>
      <cdr:x>0.16678</cdr:x>
      <cdr:y>0.22871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356362" y="709726"/>
          <a:ext cx="778551" cy="2932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700">
              <a:latin typeface="Lato" panose="020F0502020204030203" pitchFamily="34" charset="0"/>
            </a:rPr>
            <a:t>Minimum Threshold</a:t>
          </a:r>
        </a:p>
      </cdr:txBody>
    </cdr:sp>
  </cdr:relSizeAnchor>
  <cdr:relSizeAnchor xmlns:cdr="http://schemas.openxmlformats.org/drawingml/2006/chartDrawing">
    <cdr:from>
      <cdr:x>0.05898</cdr:x>
      <cdr:y>0.10194</cdr:y>
    </cdr:from>
    <cdr:to>
      <cdr:x>0.14072</cdr:x>
      <cdr:y>0.16102</cdr:y>
    </cdr:to>
    <cdr:sp macro="" textlink="">
      <cdr:nvSpPr>
        <cdr:cNvPr id="8" name="TextBox 3"/>
        <cdr:cNvSpPr txBox="1"/>
      </cdr:nvSpPr>
      <cdr:spPr>
        <a:xfrm xmlns:a="http://schemas.openxmlformats.org/drawingml/2006/main">
          <a:off x="401320" y="447040"/>
          <a:ext cx="556260" cy="25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700">
              <a:latin typeface="Lato" panose="020F0502020204030203" pitchFamily="34" charset="0"/>
            </a:rPr>
            <a:t>Target</a:t>
          </a:r>
        </a:p>
      </cdr:txBody>
    </cdr:sp>
  </cdr:relSizeAnchor>
  <cdr:relSizeAnchor xmlns:cdr="http://schemas.openxmlformats.org/drawingml/2006/chartDrawing">
    <cdr:from>
      <cdr:x>0.04927</cdr:x>
      <cdr:y>0.21662</cdr:y>
    </cdr:from>
    <cdr:to>
      <cdr:x>1</cdr:x>
      <cdr:y>0.22357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335280" y="949960"/>
          <a:ext cx="6469380" cy="3048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0.07279</cdr:x>
      <cdr:y>0.13322</cdr:y>
    </cdr:from>
    <cdr:to>
      <cdr:x>1</cdr:x>
      <cdr:y>0.13988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495300" y="584200"/>
          <a:ext cx="6309360" cy="2921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CD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0.84476</cdr:x>
      <cdr:y>0.06981</cdr:y>
    </cdr:from>
    <cdr:to>
      <cdr:x>1</cdr:x>
      <cdr:y>0.14834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4975860" y="3048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0.05708</cdr:x>
      <cdr:y>0.16521</cdr:y>
    </cdr:from>
    <cdr:to>
      <cdr:x>0.16776</cdr:x>
      <cdr:y>0.22455</cdr:y>
    </cdr:to>
    <cdr:sp macro="" textlink="">
      <cdr:nvSpPr>
        <cdr:cNvPr id="9" name="TextBox 3"/>
        <cdr:cNvSpPr txBox="1"/>
      </cdr:nvSpPr>
      <cdr:spPr>
        <a:xfrm xmlns:a="http://schemas.openxmlformats.org/drawingml/2006/main">
          <a:off x="332740" y="721360"/>
          <a:ext cx="645160" cy="25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700">
              <a:latin typeface="Lato" panose="020F0502020204030203" pitchFamily="34" charset="0"/>
            </a:rPr>
            <a:t>Minimum Threshold</a:t>
          </a:r>
        </a:p>
      </cdr:txBody>
    </cdr:sp>
  </cdr:relSizeAnchor>
  <cdr:relSizeAnchor xmlns:cdr="http://schemas.openxmlformats.org/drawingml/2006/chartDrawing">
    <cdr:from>
      <cdr:x>0.07538</cdr:x>
      <cdr:y>0.10413</cdr:y>
    </cdr:from>
    <cdr:to>
      <cdr:x>0.17081</cdr:x>
      <cdr:y>0.16347</cdr:y>
    </cdr:to>
    <cdr:sp macro="" textlink="">
      <cdr:nvSpPr>
        <cdr:cNvPr id="10" name="TextBox 3"/>
        <cdr:cNvSpPr txBox="1"/>
      </cdr:nvSpPr>
      <cdr:spPr>
        <a:xfrm xmlns:a="http://schemas.openxmlformats.org/drawingml/2006/main">
          <a:off x="439420" y="454660"/>
          <a:ext cx="556260" cy="25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700">
              <a:latin typeface="Lato" panose="020F0502020204030203" pitchFamily="34" charset="0"/>
            </a:rPr>
            <a:t>Target</a:t>
          </a:r>
        </a:p>
      </cdr:txBody>
    </cdr:sp>
  </cdr:relSizeAnchor>
  <cdr:relSizeAnchor xmlns:cdr="http://schemas.openxmlformats.org/drawingml/2006/chartDrawing">
    <cdr:from>
      <cdr:x>0.05882</cdr:x>
      <cdr:y>0.2199</cdr:y>
    </cdr:from>
    <cdr:to>
      <cdr:x>0.99216</cdr:x>
      <cdr:y>0.22164</cdr:y>
    </cdr:to>
    <cdr:cxnSp macro="">
      <cdr:nvCxnSpPr>
        <cdr:cNvPr id="11" name="Straight Connector 10"/>
        <cdr:cNvCxnSpPr/>
      </cdr:nvCxnSpPr>
      <cdr:spPr>
        <a:xfrm xmlns:a="http://schemas.openxmlformats.org/drawingml/2006/main" flipV="1">
          <a:off x="342900" y="960120"/>
          <a:ext cx="5440680" cy="762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0.10196</cdr:x>
      <cdr:y>0.14427</cdr:y>
    </cdr:from>
    <cdr:to>
      <cdr:x>1</cdr:x>
      <cdr:y>0.14485</cdr:y>
    </cdr:to>
    <cdr:cxnSp macro="">
      <cdr:nvCxnSpPr>
        <cdr:cNvPr id="12" name="Straight Connector 11"/>
        <cdr:cNvCxnSpPr/>
      </cdr:nvCxnSpPr>
      <cdr:spPr>
        <a:xfrm xmlns:a="http://schemas.openxmlformats.org/drawingml/2006/main" flipV="1">
          <a:off x="594360" y="629920"/>
          <a:ext cx="5234940" cy="254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CD00"/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Prihoda</dc:creator>
  <cp:keywords/>
  <dc:description/>
  <cp:lastModifiedBy>Belinda Prihoda</cp:lastModifiedBy>
  <cp:revision>6</cp:revision>
  <cp:lastPrinted>2019-02-04T22:11:00Z</cp:lastPrinted>
  <dcterms:created xsi:type="dcterms:W3CDTF">2020-06-04T19:31:00Z</dcterms:created>
  <dcterms:modified xsi:type="dcterms:W3CDTF">2020-06-05T13:48:00Z</dcterms:modified>
</cp:coreProperties>
</file>