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</w:p>
    <w:tbl>
      <w:tblPr>
        <w:tblW w:w="933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0"/>
      </w:tblGrid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9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CRITICAL THINKING 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Students:</w:t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General ideas by combining, changing or reapplying existing information (CT1)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Analyze, evaluate, and synthesize information relevant to a question (CT2)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  <w:tab/>
              <w:tab/>
            </w:r>
          </w:p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9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COMMUNICATION 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Students: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Develop, interpret, and express ideas through written, oral, and visual communication</w:t>
            </w:r>
            <w:r>
              <w:rPr>
                <w:rFonts w:ascii="Arial" w:cs="Arial" w:hAnsi="Arial" w:eastAsia="Arial"/>
                <w:shd w:val="nil" w:color="auto" w:fill="auto"/>
                <w:lang w:val="en-US"/>
              </w:rPr>
              <w:tab/>
              <w:tab/>
              <w:tab/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  <w:tab/>
              <w:tab/>
              <w:tab/>
            </w:r>
          </w:p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9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EMPIRICAL AND QUANTITATIVE SKILLS 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Students: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Manipulate and analyze numerical data or observable facts to arrive at an informed conclusion</w:t>
            </w:r>
            <w:r>
              <w:rPr>
                <w:rFonts w:ascii="Arial" w:cs="Arial" w:hAnsi="Arial" w:eastAsia="Arial"/>
                <w:shd w:val="nil" w:color="auto" w:fill="auto"/>
                <w:lang w:val="en-US"/>
              </w:rPr>
              <w:tab/>
              <w:tab/>
              <w:tab/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  <w:tab/>
            </w:r>
          </w:p>
        </w:tc>
      </w:tr>
      <w:tr>
        <w:tblPrEx>
          <w:shd w:val="clear" w:color="auto" w:fill="ced7e7"/>
        </w:tblPrEx>
        <w:trPr>
          <w:trHeight w:val="1682" w:hRule="atLeast"/>
        </w:trPr>
        <w:tc>
          <w:tcPr>
            <w:tcW w:type="dxa" w:w="9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TEAMWORK 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Students: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Are able to consider different points of view and work effectively with others to support a shared purpose or goal</w:t>
            </w:r>
            <w:r>
              <w:rPr>
                <w:rFonts w:ascii="Arial" w:cs="Arial" w:hAnsi="Arial" w:eastAsia="Arial"/>
                <w:shd w:val="nil" w:color="auto" w:fill="auto"/>
                <w:lang w:val="en-US"/>
              </w:rPr>
              <w:tab/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  <w:tab/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  <w:tab/>
              <w:tab/>
            </w:r>
          </w:p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9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SOCIAL RESPONSIBILITY 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Students: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xhibit intercultural competency by identifying civic responsibilities and effective ways to engage in regional, national, and global communities</w:t>
            </w:r>
            <w:r>
              <w:rPr>
                <w:rFonts w:ascii="Arial" w:cs="Arial" w:hAnsi="Arial" w:eastAsia="Arial"/>
                <w:shd w:val="nil" w:color="auto" w:fill="auto"/>
                <w:lang w:val="en-US"/>
              </w:rPr>
              <w:tab/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9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PERSONAL RESPONSIBILITY 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Students: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hd w:val="nil" w:color="auto" w:fill="auto"/>
                <w:rtl w:val="0"/>
                <w:lang w:val="en-US"/>
              </w:rPr>
              <w:tab/>
              <w:t>Evaluate choices and actions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as well as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relate consequences</w:t>
              <w:tab/>
              <w:tab/>
              <w:tab/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hd w:val="nil" w:color="auto" w:fill="auto"/>
                <w:rtl w:val="0"/>
                <w:lang w:val="en-US"/>
              </w:rPr>
              <w:tab/>
              <w:t>to decision-making</w:t>
              <w:tab/>
              <w:tab/>
              <w:tab/>
              <w:tab/>
              <w:tab/>
              <w:tab/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</w:tbl>
    <w:p>
      <w:pPr>
        <w:pStyle w:val="Body"/>
        <w:widowControl w:val="0"/>
        <w:ind w:left="2" w:hanging="2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1008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>
      <w:rPr>
        <w:sz w:val="20"/>
        <w:szCs w:val="20"/>
        <w:rtl w:val="0"/>
        <w:lang w:val="en-US"/>
      </w:rPr>
      <w:t xml:space="preserve">Effective </w:t>
    </w:r>
    <w:r>
      <w:rPr>
        <w:sz w:val="20"/>
        <w:szCs w:val="20"/>
        <w:rtl w:val="0"/>
        <w:lang w:val="en-US"/>
      </w:rPr>
      <w:t>Fall 2020</w:t>
    </w:r>
    <w:r>
      <w:rPr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pBdr>
        <w:top w:val="nil"/>
        <w:left w:val="nil"/>
        <w:bottom w:val="single" w:color="622423" w:sz="24" w:space="0" w:shadow="0" w:frame="0"/>
        <w:right w:val="nil"/>
      </w:pBdr>
      <w:tabs>
        <w:tab w:val="right" w:pos="9340"/>
        <w:tab w:val="clear" w:pos="9360"/>
      </w:tabs>
      <w:jc w:val="center"/>
    </w:pPr>
    <w:r>
      <w:rPr>
        <w:rFonts w:ascii="Cambria" w:hAnsi="Cambria"/>
        <w:smallCaps w:val="1"/>
        <w:sz w:val="40"/>
        <w:szCs w:val="40"/>
        <w:rtl w:val="0"/>
        <w:lang w:val="en-US"/>
      </w:rPr>
      <w:t>College Student Learning Outcomes</w:t>
    </w:r>
    <w:r>
      <w:rPr>
        <w:rFonts w:ascii="Cambria" w:cs="Cambria" w:hAnsi="Cambria" w:eastAsia="Cambria"/>
        <w:smallCaps w:val="1"/>
        <w:sz w:val="32"/>
        <w:szCs w:val="32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